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680" w:lineRule="exact"/>
        <w:ind w:left="0" w:leftChars="0" w:firstLine="0" w:firstLineChars="0"/>
        <w:textAlignment w:val="auto"/>
        <w:rPr>
          <w:rFonts w:hint="default" w:ascii="黑体" w:hAnsi="黑体" w:eastAsia="黑体" w:cs="黑体"/>
          <w:szCs w:val="22"/>
          <w:lang w:val="en-US" w:eastAsia="zh-CN"/>
        </w:rPr>
      </w:pPr>
      <w:r>
        <w:rPr>
          <w:rFonts w:hint="eastAsia" w:ascii="黑体" w:hAnsi="黑体" w:eastAsia="黑体" w:cs="黑体"/>
          <w:szCs w:val="22"/>
          <w:lang w:val="en-US" w:eastAsia="zh-CN"/>
        </w:rPr>
        <w:t>附件2</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680" w:lineRule="exact"/>
        <w:ind w:left="0" w:leftChars="0" w:firstLine="0" w:firstLineChars="0"/>
        <w:jc w:val="center"/>
        <w:textAlignment w:val="auto"/>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师资及参访单位介绍</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680" w:lineRule="exact"/>
        <w:ind w:left="0" w:leftChars="0" w:firstLine="0" w:firstLineChars="0"/>
        <w:jc w:val="center"/>
        <w:textAlignment w:val="auto"/>
        <w:rPr>
          <w:rFonts w:hint="eastAsia" w:ascii="方正小标宋简体" w:hAnsi="方正小标宋简体" w:eastAsia="方正小标宋简体" w:cs="方正小标宋简体"/>
          <w:sz w:val="44"/>
          <w:szCs w:val="32"/>
          <w:lang w:val="en-US" w:eastAsia="zh-CN"/>
        </w:rPr>
      </w:pPr>
      <w:r>
        <w:rPr>
          <w:rFonts w:hint="eastAsia" w:ascii="楷体_GB2312" w:hAnsi="楷体_GB2312" w:eastAsia="楷体_GB2312" w:cs="楷体_GB2312"/>
          <w:szCs w:val="22"/>
          <w:lang w:val="en-US" w:eastAsia="zh-CN"/>
        </w:rPr>
        <w:t>（按课表排序）</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textAlignment w:val="auto"/>
        <w:rPr>
          <w:rFonts w:hint="default" w:ascii="等线" w:hAnsi="等线" w:eastAsia="仿宋_GB2312"/>
          <w:szCs w:val="2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黑体" w:hAnsi="黑体" w:eastAsia="黑体" w:cs="黑体"/>
          <w:b w:val="0"/>
          <w:bCs w:val="0"/>
          <w:kern w:val="2"/>
          <w:sz w:val="32"/>
          <w:szCs w:val="22"/>
          <w:u w:val="none"/>
          <w:lang w:val="en-US" w:eastAsia="zh-CN" w:bidi="ar-SA"/>
        </w:rPr>
      </w:pPr>
      <w:r>
        <w:rPr>
          <w:rFonts w:hint="eastAsia" w:ascii="黑体" w:hAnsi="黑体" w:eastAsia="黑体" w:cs="黑体"/>
          <w:b w:val="0"/>
          <w:bCs w:val="0"/>
          <w:kern w:val="2"/>
          <w:sz w:val="32"/>
          <w:szCs w:val="22"/>
          <w:u w:val="none"/>
          <w:lang w:val="en-US" w:eastAsia="zh-CN" w:bidi="ar-SA"/>
        </w:rPr>
        <w:t>杨勇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西南政法大学成渝地区双城经济圈发展研究院副院长，西南政法大学经济学院教授，博士、研究员（正高级，</w:t>
      </w:r>
      <w:r>
        <w:rPr>
          <w:rFonts w:hint="default" w:ascii="Times New Roman" w:hAnsi="Times New Roman" w:eastAsia="仿宋_GB2312" w:cs="Times New Roman"/>
          <w:b w:val="0"/>
          <w:bCs w:val="0"/>
          <w:color w:val="auto"/>
          <w:sz w:val="32"/>
          <w:szCs w:val="32"/>
          <w:u w:val="none"/>
          <w:lang w:val="en-US" w:eastAsia="zh-CN"/>
        </w:rPr>
        <w:t>2015</w:t>
      </w:r>
      <w:r>
        <w:rPr>
          <w:rFonts w:hint="eastAsia" w:ascii="仿宋_GB2312" w:hAnsi="仿宋_GB2312" w:eastAsia="仿宋_GB2312" w:cs="仿宋_GB2312"/>
          <w:b w:val="0"/>
          <w:bCs w:val="0"/>
          <w:color w:val="auto"/>
          <w:sz w:val="32"/>
          <w:szCs w:val="32"/>
          <w:u w:val="none"/>
          <w:lang w:val="en-US" w:eastAsia="zh-CN"/>
        </w:rPr>
        <w:t>），硕士生导师，主要研究法治经济、社会治理与乡村振兴等。曾就职于西南师范大学、重庆市委党校、重庆社会科学院、重庆市人民政府发展研究中心等，现为</w:t>
      </w:r>
      <w:bookmarkStart w:id="0" w:name="OLE_LINK36"/>
      <w:r>
        <w:rPr>
          <w:rFonts w:hint="eastAsia" w:ascii="仿宋_GB2312" w:hAnsi="仿宋_GB2312" w:eastAsia="仿宋_GB2312" w:cs="仿宋_GB2312"/>
          <w:b w:val="0"/>
          <w:bCs w:val="0"/>
          <w:color w:val="auto"/>
          <w:sz w:val="32"/>
          <w:szCs w:val="32"/>
          <w:u w:val="none"/>
          <w:lang w:val="en-US" w:eastAsia="zh-CN"/>
        </w:rPr>
        <w:t>校学术委员会智库评价委员会委员</w:t>
      </w:r>
      <w:bookmarkEnd w:id="0"/>
      <w:r>
        <w:rPr>
          <w:rFonts w:hint="eastAsia" w:ascii="仿宋_GB2312" w:hAnsi="仿宋_GB2312" w:eastAsia="仿宋_GB2312" w:cs="仿宋_GB2312"/>
          <w:b w:val="0"/>
          <w:bCs w:val="0"/>
          <w:color w:val="auto"/>
          <w:sz w:val="32"/>
          <w:szCs w:val="32"/>
          <w:u w:val="none"/>
          <w:lang w:val="en-US" w:eastAsia="zh-CN"/>
        </w:rPr>
        <w:t>，重庆市政协理论研究会理事、重庆综合经济研究院兼职研究员，先后在《管理世界》、《人民日报》（理论版）等期刊报纸发表论文</w:t>
      </w:r>
      <w:r>
        <w:rPr>
          <w:rFonts w:hint="default" w:ascii="Times New Roman" w:hAnsi="Times New Roman" w:eastAsia="仿宋_GB2312" w:cs="Times New Roman"/>
          <w:b w:val="0"/>
          <w:bCs w:val="0"/>
          <w:color w:val="auto"/>
          <w:sz w:val="32"/>
          <w:szCs w:val="32"/>
          <w:u w:val="none"/>
          <w:lang w:val="en-US" w:eastAsia="zh-CN"/>
        </w:rPr>
        <w:t>60</w:t>
      </w:r>
      <w:r>
        <w:rPr>
          <w:rFonts w:hint="eastAsia" w:ascii="仿宋_GB2312" w:hAnsi="仿宋_GB2312" w:eastAsia="仿宋_GB2312" w:cs="仿宋_GB2312"/>
          <w:b w:val="0"/>
          <w:bCs w:val="0"/>
          <w:color w:val="auto"/>
          <w:sz w:val="32"/>
          <w:szCs w:val="32"/>
          <w:u w:val="none"/>
          <w:lang w:val="en-US" w:eastAsia="zh-CN"/>
        </w:rPr>
        <w:t>余篇，出版专著</w:t>
      </w:r>
      <w:r>
        <w:rPr>
          <w:rFonts w:hint="default" w:ascii="Times New Roman" w:hAnsi="Times New Roman" w:eastAsia="仿宋_GB2312" w:cs="Times New Roman"/>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lang w:val="en-US" w:eastAsia="zh-CN"/>
        </w:rPr>
        <w:t>部，主持完成省部级以上课题</w:t>
      </w:r>
      <w:r>
        <w:rPr>
          <w:rFonts w:hint="default" w:ascii="Times New Roman" w:hAnsi="Times New Roman" w:eastAsia="仿宋_GB2312" w:cs="Times New Roman"/>
          <w:b w:val="0"/>
          <w:bCs w:val="0"/>
          <w:color w:val="auto"/>
          <w:sz w:val="32"/>
          <w:szCs w:val="32"/>
          <w:u w:val="none"/>
          <w:lang w:val="en-US" w:eastAsia="zh-CN"/>
        </w:rPr>
        <w:t>10</w:t>
      </w:r>
      <w:r>
        <w:rPr>
          <w:rFonts w:hint="eastAsia" w:ascii="仿宋_GB2312" w:hAnsi="仿宋_GB2312" w:eastAsia="仿宋_GB2312" w:cs="仿宋_GB2312"/>
          <w:b w:val="0"/>
          <w:bCs w:val="0"/>
          <w:color w:val="auto"/>
          <w:sz w:val="32"/>
          <w:szCs w:val="32"/>
          <w:u w:val="none"/>
          <w:lang w:val="en-US" w:eastAsia="zh-CN"/>
        </w:rPr>
        <w:t>余项、政府委托课题</w:t>
      </w:r>
      <w:r>
        <w:rPr>
          <w:rFonts w:hint="default" w:ascii="Times New Roman" w:hAnsi="Times New Roman" w:eastAsia="仿宋_GB2312" w:cs="Times New Roman"/>
          <w:b w:val="0"/>
          <w:bCs w:val="0"/>
          <w:color w:val="auto"/>
          <w:sz w:val="32"/>
          <w:szCs w:val="32"/>
          <w:u w:val="none"/>
          <w:lang w:val="en-US" w:eastAsia="zh-CN"/>
        </w:rPr>
        <w:t>30</w:t>
      </w:r>
      <w:r>
        <w:rPr>
          <w:rFonts w:hint="eastAsia" w:ascii="仿宋_GB2312" w:hAnsi="仿宋_GB2312" w:eastAsia="仿宋_GB2312" w:cs="仿宋_GB2312"/>
          <w:b w:val="0"/>
          <w:bCs w:val="0"/>
          <w:color w:val="auto"/>
          <w:sz w:val="32"/>
          <w:szCs w:val="32"/>
          <w:u w:val="none"/>
          <w:lang w:val="en-US" w:eastAsia="zh-CN"/>
        </w:rPr>
        <w:t>余项，荣获重庆市发展研究奖二等奖、三等奖各一次。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二、卢有学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曾在重庆市人民检察院公诉二处挂职锻炼任副处长；曾任大渡口区检察院、九龙坡区检察院等实务部门的专家咨询委员。现任西南政法大学法学院刑法学教授，法学博士，硕士生导师。主要从事刑法学、国际刑法学的教学与研究工作。出版个人专著一部《战争罪刑事责任研究》；在《法律科学》《现代法学》《刑法论丛》等期刊公开发表学</w:t>
      </w:r>
      <w:bookmarkStart w:id="15" w:name="_GoBack"/>
      <w:bookmarkEnd w:id="15"/>
      <w:r>
        <w:rPr>
          <w:rFonts w:hint="eastAsia" w:ascii="仿宋_GB2312" w:hAnsi="仿宋_GB2312" w:eastAsia="仿宋_GB2312" w:cs="仿宋_GB2312"/>
          <w:b w:val="0"/>
          <w:bCs w:val="0"/>
          <w:color w:val="auto"/>
          <w:sz w:val="32"/>
          <w:szCs w:val="32"/>
          <w:u w:val="none"/>
          <w:lang w:val="en-US" w:eastAsia="zh-CN"/>
        </w:rPr>
        <w:t>术论文</w:t>
      </w:r>
      <w:r>
        <w:rPr>
          <w:rFonts w:hint="default" w:ascii="Times New Roman" w:hAnsi="Times New Roman" w:eastAsia="仿宋_GB2312" w:cs="Times New Roman"/>
          <w:b w:val="0"/>
          <w:bCs w:val="0"/>
          <w:color w:val="auto"/>
          <w:sz w:val="32"/>
          <w:szCs w:val="32"/>
          <w:u w:val="none"/>
          <w:lang w:val="en-US" w:eastAsia="zh-CN"/>
        </w:rPr>
        <w:t>30</w:t>
      </w:r>
      <w:r>
        <w:rPr>
          <w:rFonts w:hint="eastAsia" w:ascii="仿宋_GB2312" w:hAnsi="仿宋_GB2312" w:eastAsia="仿宋_GB2312" w:cs="仿宋_GB2312"/>
          <w:b w:val="0"/>
          <w:bCs w:val="0"/>
          <w:color w:val="auto"/>
          <w:sz w:val="32"/>
          <w:szCs w:val="32"/>
          <w:u w:val="none"/>
          <w:lang w:val="en-US" w:eastAsia="zh-CN"/>
        </w:rPr>
        <w:t>余篇，其中</w:t>
      </w:r>
      <w:r>
        <w:rPr>
          <w:rFonts w:hint="default" w:ascii="Times New Roman" w:hAnsi="Times New Roman" w:eastAsia="仿宋_GB2312" w:cs="Times New Roman"/>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lang w:val="en-US" w:eastAsia="zh-CN"/>
        </w:rPr>
        <w:t>篇被中国人民大学报刊复印资料《刑事法学》《国际法学》全文转载。主持并完成国家社科基金一项《中国刑法贯彻国际刑事公约研究》（批准号：</w:t>
      </w:r>
      <w:r>
        <w:rPr>
          <w:rFonts w:hint="default" w:ascii="Times New Roman" w:hAnsi="Times New Roman" w:eastAsia="仿宋_GB2312" w:cs="Times New Roman"/>
          <w:b w:val="0"/>
          <w:bCs w:val="0"/>
          <w:color w:val="auto"/>
          <w:sz w:val="32"/>
          <w:szCs w:val="32"/>
          <w:u w:val="none"/>
          <w:lang w:val="en-US" w:eastAsia="zh-CN"/>
        </w:rPr>
        <w:t>10XFX0024</w:t>
      </w:r>
      <w:r>
        <w:rPr>
          <w:rFonts w:hint="eastAsia" w:ascii="仿宋_GB2312" w:hAnsi="仿宋_GB2312" w:eastAsia="仿宋_GB2312" w:cs="仿宋_GB2312"/>
          <w:b w:val="0"/>
          <w:bCs w:val="0"/>
          <w:color w:val="auto"/>
          <w:sz w:val="32"/>
          <w:szCs w:val="32"/>
          <w:u w:val="none"/>
          <w:lang w:val="en-US" w:eastAsia="zh-CN"/>
        </w:rPr>
        <w:t>）；主持并完成中国法学会部级项目</w:t>
      </w:r>
      <w:r>
        <w:rPr>
          <w:rFonts w:hint="default" w:ascii="Times New Roman" w:hAnsi="Times New Roman" w:eastAsia="仿宋_GB2312" w:cs="Times New Roman"/>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lang w:val="en-US" w:eastAsia="zh-CN"/>
        </w:rPr>
        <w:t>项。</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Cs w:val="32"/>
          <w:u w:val="none"/>
          <w:lang w:val="en-US" w:eastAsia="zh-CN"/>
        </w:rPr>
      </w:pPr>
      <w:r>
        <w:rPr>
          <w:rFonts w:hint="eastAsia" w:ascii="黑体" w:hAnsi="黑体" w:eastAsia="黑体" w:cs="黑体"/>
          <w:b w:val="0"/>
          <w:bCs w:val="0"/>
          <w:szCs w:val="32"/>
          <w:u w:val="none"/>
          <w:lang w:val="en-US" w:eastAsia="zh-CN"/>
        </w:rPr>
        <w:t>三、陈劲松</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Cs w:val="32"/>
          <w:u w:val="none"/>
          <w:lang w:val="en-US" w:eastAsia="zh-CN"/>
        </w:rPr>
      </w:pPr>
      <w:bookmarkStart w:id="1" w:name="OLE_LINK25"/>
      <w:r>
        <w:rPr>
          <w:rFonts w:hint="eastAsia" w:ascii="仿宋_GB2312" w:hAnsi="仿宋_GB2312" w:eastAsia="仿宋_GB2312" w:cs="仿宋_GB2312"/>
          <w:b w:val="0"/>
          <w:bCs w:val="0"/>
          <w:szCs w:val="32"/>
          <w:u w:val="none"/>
          <w:lang w:val="en-US" w:eastAsia="zh-CN"/>
        </w:rPr>
        <w:t>重庆两江新区人民法院（重庆自由贸易试验区人民法院）涉外庭庭长。</w:t>
      </w:r>
      <w:bookmarkEnd w:id="1"/>
    </w:p>
    <w:p>
      <w:pPr>
        <w:keepNext w:val="0"/>
        <w:keepLines w:val="0"/>
        <w:numPr>
          <w:ilvl w:val="0"/>
          <w:numId w:val="2"/>
        </w:numPr>
        <w:pBdr>
          <w:top w:val="none" w:color="auto" w:sz="0" w:space="1"/>
          <w:left w:val="none" w:color="auto" w:sz="0" w:space="4"/>
          <w:bottom w:val="none" w:color="auto" w:sz="0" w:space="1"/>
          <w:right w:val="none" w:color="auto" w:sz="0" w:space="4"/>
        </w:pBdr>
        <w:spacing w:line="560" w:lineRule="exact"/>
        <w:ind w:firstLine="640" w:firstLineChars="200"/>
        <w:jc w:val="both"/>
        <w:rPr>
          <w:rFonts w:hint="eastAsia" w:ascii="黑体" w:hAnsi="黑体" w:eastAsia="黑体" w:cs="黑体"/>
          <w:b w:val="0"/>
          <w:bCs w:val="0"/>
          <w:szCs w:val="32"/>
          <w:u w:val="none"/>
          <w:lang w:val="en-US" w:eastAsia="zh-CN"/>
        </w:rPr>
      </w:pPr>
      <w:bookmarkStart w:id="2" w:name="OLE_LINK18"/>
      <w:r>
        <w:rPr>
          <w:rFonts w:hint="eastAsia" w:ascii="黑体" w:hAnsi="黑体" w:eastAsia="黑体" w:cs="黑体"/>
          <w:b w:val="0"/>
          <w:bCs w:val="0"/>
          <w:szCs w:val="32"/>
          <w:u w:val="none"/>
          <w:lang w:val="en-US" w:eastAsia="zh-CN"/>
        </w:rPr>
        <w:t>中国东盟法律研究中心</w:t>
      </w:r>
    </w:p>
    <w:p>
      <w:pPr>
        <w:keepNext w:val="0"/>
        <w:keepLines w:val="0"/>
        <w:numPr>
          <w:ilvl w:val="0"/>
          <w:numId w:val="0"/>
        </w:numPr>
        <w:pBdr>
          <w:top w:val="none" w:color="auto" w:sz="0" w:space="1"/>
          <w:left w:val="none" w:color="auto" w:sz="0" w:space="4"/>
          <w:bottom w:val="none" w:color="auto" w:sz="0" w:space="1"/>
          <w:right w:val="none" w:color="auto" w:sz="0" w:space="4"/>
        </w:pBdr>
        <w:spacing w:line="560" w:lineRule="exact"/>
        <w:ind w:firstLine="640" w:firstLineChars="200"/>
        <w:jc w:val="both"/>
        <w:rPr>
          <w:rFonts w:hint="eastAsia" w:ascii="仿宋_GB2312" w:hAnsi="仿宋_GB2312" w:eastAsia="仿宋_GB2312" w:cs="仿宋_GB2312"/>
          <w:b w:val="0"/>
          <w:bCs w:val="0"/>
          <w:szCs w:val="32"/>
          <w:u w:val="none"/>
          <w:lang w:val="en-US" w:eastAsia="zh-CN"/>
        </w:rPr>
      </w:pPr>
      <w:r>
        <w:rPr>
          <w:rFonts w:hint="eastAsia" w:ascii="仿宋_GB2312" w:hAnsi="仿宋_GB2312" w:eastAsia="仿宋_GB2312" w:cs="仿宋_GB2312"/>
          <w:b w:val="0"/>
          <w:bCs w:val="0"/>
          <w:szCs w:val="32"/>
          <w:u w:val="none"/>
          <w:lang w:val="en-US" w:eastAsia="zh-CN"/>
        </w:rPr>
        <w:t>中国</w:t>
      </w:r>
      <w:bookmarkStart w:id="3" w:name="OLE_LINK19"/>
      <w:r>
        <w:rPr>
          <w:rFonts w:hint="eastAsia" w:ascii="仿宋_GB2312" w:hAnsi="仿宋_GB2312" w:eastAsia="仿宋_GB2312" w:cs="仿宋_GB2312"/>
          <w:b w:val="0"/>
          <w:bCs w:val="0"/>
          <w:szCs w:val="32"/>
          <w:u w:val="none"/>
          <w:lang w:val="en-US" w:eastAsia="zh-CN"/>
        </w:rPr>
        <w:t>—</w:t>
      </w:r>
      <w:bookmarkEnd w:id="3"/>
      <w:r>
        <w:rPr>
          <w:rFonts w:hint="eastAsia" w:ascii="仿宋_GB2312" w:hAnsi="仿宋_GB2312" w:eastAsia="仿宋_GB2312" w:cs="仿宋_GB2312"/>
          <w:b w:val="0"/>
          <w:bCs w:val="0"/>
          <w:szCs w:val="32"/>
          <w:u w:val="none"/>
          <w:lang w:val="en-US" w:eastAsia="zh-CN"/>
        </w:rPr>
        <w:t>东盟法律研究中心系首批中国法学会法治研究基地、中国法学会中国一东盟高端法律人才培养基地、教育部区域与国别研究基地备案中心、最高人民法院民四庭东盟国家法律研究基地及东盟国家适用中国法律咨询中心、重庆市首批新型智库及重庆市重点人文社会科学研究基地。</w:t>
      </w:r>
    </w:p>
    <w:p>
      <w:pPr>
        <w:keepNext w:val="0"/>
        <w:keepLines w:val="0"/>
        <w:numPr>
          <w:ilvl w:val="0"/>
          <w:numId w:val="0"/>
        </w:numPr>
        <w:pBdr>
          <w:top w:val="none" w:color="auto" w:sz="0" w:space="1"/>
          <w:left w:val="none" w:color="auto" w:sz="0" w:space="4"/>
          <w:bottom w:val="none" w:color="auto" w:sz="0" w:space="1"/>
          <w:right w:val="none" w:color="auto" w:sz="0" w:space="4"/>
        </w:pBdr>
        <w:spacing w:line="560" w:lineRule="exact"/>
        <w:ind w:firstLine="640" w:firstLineChars="200"/>
        <w:jc w:val="both"/>
        <w:rPr>
          <w:rFonts w:hint="eastAsia" w:ascii="仿宋_GB2312" w:hAnsi="仿宋_GB2312" w:eastAsia="仿宋_GB2312" w:cs="仿宋_GB2312"/>
          <w:b w:val="0"/>
          <w:bCs w:val="0"/>
          <w:szCs w:val="32"/>
          <w:u w:val="none"/>
          <w:lang w:val="en-US" w:eastAsia="zh-CN"/>
        </w:rPr>
      </w:pPr>
      <w:r>
        <w:rPr>
          <w:rFonts w:hint="eastAsia" w:ascii="仿宋_GB2312" w:hAnsi="仿宋_GB2312" w:eastAsia="仿宋_GB2312" w:cs="仿宋_GB2312"/>
          <w:b w:val="0"/>
          <w:bCs w:val="0"/>
          <w:szCs w:val="32"/>
          <w:u w:val="none"/>
          <w:lang w:val="en-US" w:eastAsia="zh-CN"/>
        </w:rPr>
        <w:t>中国—东盟法律研究中心拥有国内层次最高、覆盖最广的东盟国家法律法学资源。中心聘请有东盟国家咨询委员和客座研究员，建设有中国东盟法律专家库，与柬埔寨司法部、老挝司法部、缅甸法律事务部、东盟法律协会、泰国司法学院、东盟国家律师事务所及高校等法律法学组织签署有合作交流协议，订单式培养高端法治人才，合作共建“法律咨询中心”，举办法治论坛，出版《中国-东盟法律评论》，开发建设“一带一路”沿线国家和地区法律数据库及查明服务平台，深度参与最高人民法院国际商事法庭域外法查明平台建设，为社会各界提供法律查明及适用的咨询服务。</w:t>
      </w:r>
    </w:p>
    <w:bookmarkEnd w:id="2"/>
    <w:p>
      <w:pPr>
        <w:spacing w:line="560" w:lineRule="exact"/>
        <w:ind w:firstLine="640" w:firstLineChars="200"/>
        <w:jc w:val="both"/>
        <w:rPr>
          <w:rFonts w:hint="default" w:ascii="黑体" w:hAnsi="黑体" w:eastAsia="黑体" w:cs="黑体"/>
          <w:b w:val="0"/>
          <w:bCs w:val="0"/>
          <w:kern w:val="2"/>
          <w:sz w:val="32"/>
          <w:szCs w:val="32"/>
          <w:u w:val="none"/>
          <w:lang w:val="en-US" w:eastAsia="zh-CN" w:bidi="ar-SA"/>
        </w:rPr>
      </w:pPr>
      <w:r>
        <w:rPr>
          <w:rFonts w:hint="eastAsia" w:ascii="黑体" w:hAnsi="黑体" w:eastAsia="黑体" w:cs="黑体"/>
          <w:b w:val="0"/>
          <w:bCs w:val="0"/>
          <w:kern w:val="2"/>
          <w:sz w:val="32"/>
          <w:szCs w:val="32"/>
          <w:u w:val="none"/>
          <w:lang w:val="en-US" w:eastAsia="zh-CN" w:bidi="ar-SA"/>
        </w:rPr>
        <w:t>五、西南政法大学司法鉴定中心</w:t>
      </w:r>
    </w:p>
    <w:p>
      <w:pPr>
        <w:spacing w:line="560" w:lineRule="exact"/>
        <w:ind w:firstLine="640" w:firstLineChars="200"/>
        <w:jc w:val="both"/>
        <w:rPr>
          <w:rFonts w:hint="eastAsia" w:ascii="仿宋_GB2312" w:hAnsi="仿宋_GB2312" w:eastAsia="仿宋_GB2312" w:cs="仿宋_GB2312"/>
          <w:b w:val="0"/>
          <w:bCs w:val="0"/>
          <w:kern w:val="2"/>
          <w:sz w:val="32"/>
          <w:szCs w:val="32"/>
          <w:u w:val="none"/>
          <w:lang w:val="en-US" w:eastAsia="zh-CN" w:bidi="ar-SA"/>
        </w:rPr>
      </w:pPr>
      <w:r>
        <w:rPr>
          <w:rFonts w:hint="default" w:ascii="Times New Roman" w:hAnsi="Times New Roman" w:eastAsia="仿宋_GB2312" w:cs="Times New Roman"/>
          <w:b w:val="0"/>
          <w:bCs w:val="0"/>
          <w:kern w:val="2"/>
          <w:sz w:val="32"/>
          <w:szCs w:val="32"/>
          <w:u w:val="none"/>
          <w:lang w:val="en-US" w:eastAsia="zh-CN" w:bidi="ar-SA"/>
        </w:rPr>
        <w:t>1986</w:t>
      </w:r>
      <w:r>
        <w:rPr>
          <w:rFonts w:hint="eastAsia" w:ascii="仿宋_GB2312" w:hAnsi="仿宋_GB2312" w:eastAsia="仿宋_GB2312" w:cs="仿宋_GB2312"/>
          <w:b w:val="0"/>
          <w:bCs w:val="0"/>
          <w:kern w:val="2"/>
          <w:sz w:val="32"/>
          <w:szCs w:val="32"/>
          <w:u w:val="none"/>
          <w:lang w:val="en-US" w:eastAsia="zh-CN" w:bidi="ar-SA"/>
        </w:rPr>
        <w:t>年</w:t>
      </w:r>
      <w:r>
        <w:rPr>
          <w:rFonts w:hint="default" w:ascii="Times New Roman" w:hAnsi="Times New Roman" w:eastAsia="仿宋_GB2312" w:cs="Times New Roman"/>
          <w:b w:val="0"/>
          <w:bCs w:val="0"/>
          <w:kern w:val="2"/>
          <w:sz w:val="32"/>
          <w:szCs w:val="32"/>
          <w:u w:val="none"/>
          <w:lang w:val="en-US" w:eastAsia="zh-CN" w:bidi="ar-SA"/>
        </w:rPr>
        <w:t>9</w:t>
      </w:r>
      <w:r>
        <w:rPr>
          <w:rFonts w:hint="eastAsia" w:ascii="仿宋_GB2312" w:hAnsi="仿宋_GB2312" w:eastAsia="仿宋_GB2312" w:cs="仿宋_GB2312"/>
          <w:b w:val="0"/>
          <w:bCs w:val="0"/>
          <w:kern w:val="2"/>
          <w:sz w:val="32"/>
          <w:szCs w:val="32"/>
          <w:u w:val="none"/>
          <w:lang w:val="en-US" w:eastAsia="zh-CN" w:bidi="ar-SA"/>
        </w:rPr>
        <w:t>月</w:t>
      </w:r>
      <w:r>
        <w:rPr>
          <w:rFonts w:hint="default" w:ascii="Times New Roman" w:hAnsi="Times New Roman" w:eastAsia="仿宋_GB2312" w:cs="Times New Roman"/>
          <w:b w:val="0"/>
          <w:bCs w:val="0"/>
          <w:kern w:val="2"/>
          <w:sz w:val="32"/>
          <w:szCs w:val="32"/>
          <w:u w:val="none"/>
          <w:lang w:val="en-US" w:eastAsia="zh-CN" w:bidi="ar-SA"/>
        </w:rPr>
        <w:t>30</w:t>
      </w:r>
      <w:r>
        <w:rPr>
          <w:rFonts w:hint="eastAsia" w:ascii="仿宋_GB2312" w:hAnsi="仿宋_GB2312" w:eastAsia="仿宋_GB2312" w:cs="仿宋_GB2312"/>
          <w:b w:val="0"/>
          <w:bCs w:val="0"/>
          <w:kern w:val="2"/>
          <w:sz w:val="32"/>
          <w:szCs w:val="32"/>
          <w:u w:val="none"/>
          <w:lang w:val="en-US" w:eastAsia="zh-CN" w:bidi="ar-SA"/>
        </w:rPr>
        <w:t>日经司法部批准成立西南政法大学司法鉴定中心，</w:t>
      </w:r>
      <w:r>
        <w:rPr>
          <w:rFonts w:hint="default" w:ascii="Times New Roman" w:hAnsi="Times New Roman" w:eastAsia="仿宋_GB2312" w:cs="Times New Roman"/>
          <w:b w:val="0"/>
          <w:bCs w:val="0"/>
          <w:kern w:val="2"/>
          <w:sz w:val="32"/>
          <w:szCs w:val="32"/>
          <w:u w:val="none"/>
          <w:lang w:val="en-US" w:eastAsia="zh-CN" w:bidi="ar-SA"/>
        </w:rPr>
        <w:t>1987</w:t>
      </w:r>
      <w:r>
        <w:rPr>
          <w:rFonts w:hint="eastAsia" w:ascii="仿宋_GB2312" w:hAnsi="仿宋_GB2312" w:eastAsia="仿宋_GB2312" w:cs="仿宋_GB2312"/>
          <w:b w:val="0"/>
          <w:bCs w:val="0"/>
          <w:kern w:val="2"/>
          <w:sz w:val="32"/>
          <w:szCs w:val="32"/>
          <w:u w:val="none"/>
          <w:lang w:val="en-US" w:eastAsia="zh-CN" w:bidi="ar-SA"/>
        </w:rPr>
        <w:t>年</w:t>
      </w:r>
      <w:r>
        <w:rPr>
          <w:rFonts w:hint="default" w:ascii="Times New Roman" w:hAnsi="Times New Roman" w:eastAsia="仿宋_GB2312" w:cs="Times New Roman"/>
          <w:b w:val="0"/>
          <w:bCs w:val="0"/>
          <w:kern w:val="2"/>
          <w:sz w:val="32"/>
          <w:szCs w:val="32"/>
          <w:u w:val="none"/>
          <w:lang w:val="en-US" w:eastAsia="zh-CN" w:bidi="ar-SA"/>
        </w:rPr>
        <w:t>6</w:t>
      </w:r>
      <w:r>
        <w:rPr>
          <w:rFonts w:hint="eastAsia" w:ascii="仿宋_GB2312" w:hAnsi="仿宋_GB2312" w:eastAsia="仿宋_GB2312" w:cs="仿宋_GB2312"/>
          <w:b w:val="0"/>
          <w:bCs w:val="0"/>
          <w:kern w:val="2"/>
          <w:sz w:val="32"/>
          <w:szCs w:val="32"/>
          <w:u w:val="none"/>
          <w:lang w:val="en-US" w:eastAsia="zh-CN" w:bidi="ar-SA"/>
        </w:rPr>
        <w:t>月</w:t>
      </w:r>
      <w:r>
        <w:rPr>
          <w:rFonts w:hint="default" w:ascii="Times New Roman" w:hAnsi="Times New Roman" w:eastAsia="仿宋_GB2312" w:cs="Times New Roman"/>
          <w:b w:val="0"/>
          <w:bCs w:val="0"/>
          <w:kern w:val="2"/>
          <w:sz w:val="32"/>
          <w:szCs w:val="32"/>
          <w:u w:val="none"/>
          <w:lang w:val="en-US" w:eastAsia="zh-CN" w:bidi="ar-SA"/>
        </w:rPr>
        <w:t>23</w:t>
      </w:r>
      <w:r>
        <w:rPr>
          <w:rFonts w:hint="eastAsia" w:ascii="仿宋_GB2312" w:hAnsi="仿宋_GB2312" w:eastAsia="仿宋_GB2312" w:cs="仿宋_GB2312"/>
          <w:b w:val="0"/>
          <w:bCs w:val="0"/>
          <w:kern w:val="2"/>
          <w:sz w:val="32"/>
          <w:szCs w:val="32"/>
          <w:u w:val="none"/>
          <w:lang w:val="en-US" w:eastAsia="zh-CN" w:bidi="ar-SA"/>
        </w:rPr>
        <w:t>日被司法部授予司法鉴定权。</w:t>
      </w:r>
      <w:r>
        <w:rPr>
          <w:rFonts w:hint="default" w:ascii="Times New Roman" w:hAnsi="Times New Roman" w:eastAsia="仿宋_GB2312" w:cs="Times New Roman"/>
          <w:b w:val="0"/>
          <w:bCs w:val="0"/>
          <w:kern w:val="2"/>
          <w:sz w:val="32"/>
          <w:szCs w:val="32"/>
          <w:u w:val="none"/>
          <w:lang w:val="en-US" w:eastAsia="zh-CN" w:bidi="ar-SA"/>
        </w:rPr>
        <w:t>2008</w:t>
      </w:r>
      <w:r>
        <w:rPr>
          <w:rFonts w:hint="eastAsia" w:ascii="仿宋_GB2312" w:hAnsi="仿宋_GB2312" w:eastAsia="仿宋_GB2312" w:cs="仿宋_GB2312"/>
          <w:b w:val="0"/>
          <w:bCs w:val="0"/>
          <w:kern w:val="2"/>
          <w:sz w:val="32"/>
          <w:szCs w:val="32"/>
          <w:u w:val="none"/>
          <w:lang w:val="en-US" w:eastAsia="zh-CN" w:bidi="ar-SA"/>
        </w:rPr>
        <w:t>年成为国内首家通过中国合格评定国家认可委员会的实验室/检查机构认可（</w:t>
      </w:r>
      <w:r>
        <w:rPr>
          <w:rFonts w:hint="default" w:ascii="Times New Roman" w:hAnsi="Times New Roman" w:eastAsia="仿宋_GB2312" w:cs="Times New Roman"/>
          <w:b w:val="0"/>
          <w:bCs w:val="0"/>
          <w:kern w:val="2"/>
          <w:sz w:val="32"/>
          <w:szCs w:val="32"/>
          <w:u w:val="none"/>
          <w:lang w:val="en-US" w:eastAsia="zh-CN" w:bidi="ar-SA"/>
        </w:rPr>
        <w:t>CNAS</w:t>
      </w:r>
      <w:r>
        <w:rPr>
          <w:rFonts w:hint="eastAsia" w:ascii="仿宋_GB2312" w:hAnsi="仿宋_GB2312" w:eastAsia="仿宋_GB2312" w:cs="仿宋_GB2312"/>
          <w:b w:val="0"/>
          <w:bCs w:val="0"/>
          <w:kern w:val="2"/>
          <w:sz w:val="32"/>
          <w:szCs w:val="32"/>
          <w:u w:val="none"/>
          <w:lang w:val="en-US" w:eastAsia="zh-CN" w:bidi="ar-SA"/>
        </w:rPr>
        <w:t xml:space="preserve"> 认可）以及国家认证认可监督管理委员会的国家级资质认定的司法鉴定机构。</w:t>
      </w:r>
      <w:r>
        <w:rPr>
          <w:rFonts w:hint="default" w:ascii="Times New Roman" w:hAnsi="Times New Roman" w:eastAsia="仿宋_GB2312" w:cs="Times New Roman"/>
          <w:b w:val="0"/>
          <w:bCs w:val="0"/>
          <w:kern w:val="2"/>
          <w:sz w:val="32"/>
          <w:szCs w:val="32"/>
          <w:u w:val="none"/>
          <w:lang w:val="en-US" w:eastAsia="zh-CN" w:bidi="ar-SA"/>
        </w:rPr>
        <w:t>2009</w:t>
      </w:r>
      <w:r>
        <w:rPr>
          <w:rFonts w:hint="eastAsia" w:ascii="仿宋_GB2312" w:hAnsi="仿宋_GB2312" w:eastAsia="仿宋_GB2312" w:cs="仿宋_GB2312"/>
          <w:b w:val="0"/>
          <w:bCs w:val="0"/>
          <w:kern w:val="2"/>
          <w:sz w:val="32"/>
          <w:szCs w:val="32"/>
          <w:u w:val="none"/>
          <w:lang w:val="en-US" w:eastAsia="zh-CN" w:bidi="ar-SA"/>
        </w:rPr>
        <w:t>年</w:t>
      </w:r>
      <w:r>
        <w:rPr>
          <w:rFonts w:hint="default" w:ascii="Times New Roman" w:hAnsi="Times New Roman" w:eastAsia="仿宋_GB2312" w:cs="Times New Roman"/>
          <w:b w:val="0"/>
          <w:bCs w:val="0"/>
          <w:kern w:val="2"/>
          <w:sz w:val="32"/>
          <w:szCs w:val="32"/>
          <w:u w:val="none"/>
          <w:lang w:val="en-US" w:eastAsia="zh-CN" w:bidi="ar-SA"/>
        </w:rPr>
        <w:t>12</w:t>
      </w:r>
      <w:r>
        <w:rPr>
          <w:rFonts w:hint="eastAsia" w:ascii="仿宋_GB2312" w:hAnsi="仿宋_GB2312" w:eastAsia="仿宋_GB2312" w:cs="仿宋_GB2312"/>
          <w:b w:val="0"/>
          <w:bCs w:val="0"/>
          <w:kern w:val="2"/>
          <w:sz w:val="32"/>
          <w:szCs w:val="32"/>
          <w:u w:val="none"/>
          <w:lang w:val="en-US" w:eastAsia="zh-CN" w:bidi="ar-SA"/>
        </w:rPr>
        <w:t>月由中央政法委组织遴选荣膺“国家级司法鉴定机构”，是中西部地区唯一的国家级十大司法鉴定机构。中心检验、检测文书报告在全国范围内具有司法效力，并可以在全世界范围内近</w:t>
      </w:r>
      <w:r>
        <w:rPr>
          <w:rFonts w:hint="default" w:ascii="Times New Roman" w:hAnsi="Times New Roman" w:eastAsia="仿宋_GB2312" w:cs="Times New Roman"/>
          <w:b w:val="0"/>
          <w:bCs w:val="0"/>
          <w:kern w:val="2"/>
          <w:sz w:val="32"/>
          <w:szCs w:val="32"/>
          <w:u w:val="none"/>
          <w:lang w:val="en-US" w:eastAsia="zh-CN" w:bidi="ar-SA"/>
        </w:rPr>
        <w:t>46</w:t>
      </w:r>
      <w:r>
        <w:rPr>
          <w:rFonts w:hint="eastAsia" w:ascii="仿宋_GB2312" w:hAnsi="仿宋_GB2312" w:eastAsia="仿宋_GB2312" w:cs="仿宋_GB2312"/>
          <w:b w:val="0"/>
          <w:bCs w:val="0"/>
          <w:kern w:val="2"/>
          <w:sz w:val="32"/>
          <w:szCs w:val="32"/>
          <w:u w:val="none"/>
          <w:lang w:val="en-US" w:eastAsia="zh-CN" w:bidi="ar-SA"/>
        </w:rPr>
        <w:t>个国家和地区的各成员组织多边互认。</w:t>
      </w:r>
      <w:r>
        <w:rPr>
          <w:rFonts w:hint="default" w:ascii="Times New Roman" w:hAnsi="Times New Roman" w:eastAsia="仿宋_GB2312" w:cs="Times New Roman"/>
          <w:b w:val="0"/>
          <w:bCs w:val="0"/>
          <w:kern w:val="2"/>
          <w:sz w:val="32"/>
          <w:szCs w:val="32"/>
          <w:u w:val="none"/>
          <w:lang w:val="en-US" w:eastAsia="zh-CN" w:bidi="ar-SA"/>
        </w:rPr>
        <w:t>2019</w:t>
      </w:r>
      <w:r>
        <w:rPr>
          <w:rFonts w:hint="eastAsia" w:ascii="仿宋_GB2312" w:hAnsi="仿宋_GB2312" w:eastAsia="仿宋_GB2312" w:cs="仿宋_GB2312"/>
          <w:b w:val="0"/>
          <w:bCs w:val="0"/>
          <w:kern w:val="2"/>
          <w:sz w:val="32"/>
          <w:szCs w:val="32"/>
          <w:u w:val="none"/>
          <w:lang w:val="en-US" w:eastAsia="zh-CN" w:bidi="ar-SA"/>
        </w:rPr>
        <w:t>年</w:t>
      </w:r>
      <w:r>
        <w:rPr>
          <w:rFonts w:hint="default" w:ascii="Times New Roman" w:hAnsi="Times New Roman" w:eastAsia="仿宋_GB2312" w:cs="Times New Roman"/>
          <w:b w:val="0"/>
          <w:bCs w:val="0"/>
          <w:kern w:val="2"/>
          <w:sz w:val="32"/>
          <w:szCs w:val="32"/>
          <w:u w:val="none"/>
          <w:lang w:val="en-US" w:eastAsia="zh-CN" w:bidi="ar-SA"/>
        </w:rPr>
        <w:t>12</w:t>
      </w:r>
      <w:r>
        <w:rPr>
          <w:rFonts w:hint="eastAsia" w:ascii="仿宋_GB2312" w:hAnsi="仿宋_GB2312" w:eastAsia="仿宋_GB2312" w:cs="仿宋_GB2312"/>
          <w:b w:val="0"/>
          <w:bCs w:val="0"/>
          <w:kern w:val="2"/>
          <w:sz w:val="32"/>
          <w:szCs w:val="32"/>
          <w:u w:val="none"/>
          <w:lang w:val="en-US" w:eastAsia="zh-CN" w:bidi="ar-SA"/>
        </w:rPr>
        <w:t>月被司法部评为“全国公共法律服务工作先进集体”。</w:t>
      </w:r>
    </w:p>
    <w:p>
      <w:pPr>
        <w:spacing w:line="560" w:lineRule="exact"/>
        <w:ind w:firstLine="640" w:firstLineChars="200"/>
        <w:jc w:val="both"/>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中心定位于多领域全面发展的综合性司法鉴定机构，开展以物证类鉴定为主、鉴定种类基本齐全的司法鉴定活动,经司法行政机关核定开展的鉴定业务范围包括法医类、物证类、声像资料类三大类共</w:t>
      </w:r>
      <w:r>
        <w:rPr>
          <w:rFonts w:hint="default" w:ascii="Times New Roman" w:hAnsi="Times New Roman" w:eastAsia="仿宋_GB2312" w:cs="Times New Roman"/>
          <w:b w:val="0"/>
          <w:bCs w:val="0"/>
          <w:kern w:val="2"/>
          <w:sz w:val="32"/>
          <w:szCs w:val="32"/>
          <w:u w:val="none"/>
          <w:lang w:val="en-US" w:eastAsia="zh-CN" w:bidi="ar-SA"/>
        </w:rPr>
        <w:t>10</w:t>
      </w:r>
      <w:r>
        <w:rPr>
          <w:rFonts w:hint="eastAsia" w:ascii="仿宋_GB2312" w:hAnsi="仿宋_GB2312" w:eastAsia="仿宋_GB2312" w:cs="仿宋_GB2312"/>
          <w:b w:val="0"/>
          <w:bCs w:val="0"/>
          <w:kern w:val="2"/>
          <w:sz w:val="32"/>
          <w:szCs w:val="32"/>
          <w:u w:val="none"/>
          <w:lang w:val="en-US" w:eastAsia="zh-CN" w:bidi="ar-SA"/>
        </w:rPr>
        <w:t>项：法医病理鉴定、法医临床鉴定、法医物证鉴定(</w:t>
      </w:r>
      <w:r>
        <w:rPr>
          <w:rFonts w:hint="default" w:ascii="Times New Roman" w:hAnsi="Times New Roman" w:eastAsia="仿宋_GB2312" w:cs="Times New Roman"/>
          <w:b w:val="0"/>
          <w:bCs w:val="0"/>
          <w:kern w:val="2"/>
          <w:sz w:val="32"/>
          <w:szCs w:val="32"/>
          <w:u w:val="none"/>
          <w:lang w:val="en-US" w:eastAsia="zh-CN" w:bidi="ar-SA"/>
        </w:rPr>
        <w:t>DNA</w:t>
      </w:r>
      <w:r>
        <w:rPr>
          <w:rFonts w:hint="eastAsia" w:ascii="仿宋_GB2312" w:hAnsi="仿宋_GB2312" w:eastAsia="仿宋_GB2312" w:cs="仿宋_GB2312"/>
          <w:b w:val="0"/>
          <w:bCs w:val="0"/>
          <w:kern w:val="2"/>
          <w:sz w:val="32"/>
          <w:szCs w:val="32"/>
          <w:u w:val="none"/>
          <w:lang w:val="en-US" w:eastAsia="zh-CN" w:bidi="ar-SA"/>
        </w:rPr>
        <w:t>亲子鉴定)、法医毒物鉴定、文书鉴定、痕迹鉴定、微量物证鉴定、录音鉴定、图像鉴定、电子数据鉴定等。其中,文痕鉴定领域有多位知名专家教授，文书检验（含文件的形成时间）鉴定在全国享有较高知名度和影响力。</w:t>
      </w:r>
    </w:p>
    <w:p>
      <w:pPr>
        <w:spacing w:line="560" w:lineRule="exact"/>
        <w:ind w:firstLine="640" w:firstLineChars="200"/>
        <w:jc w:val="both"/>
        <w:rPr>
          <w:rFonts w:hint="eastAsia" w:ascii="黑体" w:hAnsi="黑体" w:eastAsia="黑体" w:cs="黑体"/>
          <w:b w:val="0"/>
          <w:bCs w:val="0"/>
          <w:kern w:val="2"/>
          <w:sz w:val="32"/>
          <w:szCs w:val="32"/>
          <w:u w:val="none"/>
          <w:lang w:val="en-US" w:eastAsia="zh-CN" w:bidi="ar-SA"/>
        </w:rPr>
      </w:pPr>
      <w:r>
        <w:rPr>
          <w:rFonts w:hint="eastAsia" w:ascii="黑体" w:hAnsi="黑体" w:eastAsia="黑体" w:cs="黑体"/>
          <w:b w:val="0"/>
          <w:bCs w:val="0"/>
          <w:kern w:val="2"/>
          <w:sz w:val="32"/>
          <w:szCs w:val="32"/>
          <w:u w:val="none"/>
          <w:lang w:val="en-US" w:eastAsia="zh-CN" w:bidi="ar-SA"/>
        </w:rPr>
        <w:t>六、梁坤</w:t>
      </w:r>
    </w:p>
    <w:p>
      <w:pPr>
        <w:keepNext w:val="0"/>
        <w:keepLines w:val="0"/>
        <w:numPr>
          <w:ilvl w:val="0"/>
          <w:numId w:val="0"/>
        </w:numPr>
        <w:spacing w:line="560" w:lineRule="exact"/>
        <w:ind w:firstLine="640" w:firstLineChars="200"/>
        <w:jc w:val="both"/>
        <w:rPr>
          <w:rFonts w:hint="eastAsia" w:ascii="黑体" w:hAnsi="黑体" w:eastAsia="黑体" w:cs="黑体"/>
          <w:b w:val="0"/>
          <w:bCs w:val="0"/>
          <w:szCs w:val="32"/>
          <w:u w:val="none"/>
          <w:lang w:val="en-US" w:eastAsia="zh-CN"/>
        </w:rPr>
      </w:pPr>
      <w:r>
        <w:rPr>
          <w:rFonts w:hint="eastAsia" w:ascii="仿宋_GB2312" w:hAnsi="仿宋_GB2312" w:eastAsia="仿宋_GB2312" w:cs="仿宋_GB2312"/>
          <w:b w:val="0"/>
          <w:bCs w:val="0"/>
          <w:kern w:val="2"/>
          <w:sz w:val="32"/>
          <w:szCs w:val="32"/>
          <w:u w:val="none"/>
          <w:lang w:val="en-US" w:eastAsia="zh-CN" w:bidi="ar-SA"/>
        </w:rPr>
        <w:t>西南政法大学刑事侦查学院党委副书记、院长、教授、博士生导师，先后入选重庆市巴渝学者青年学者、重庆市高校中青年骨干教师；</w:t>
      </w:r>
      <w:r>
        <w:rPr>
          <w:rFonts w:hint="default" w:ascii="Times New Roman" w:hAnsi="Times New Roman" w:eastAsia="仿宋_GB2312" w:cs="Times New Roman"/>
          <w:b w:val="0"/>
          <w:bCs w:val="0"/>
          <w:kern w:val="2"/>
          <w:sz w:val="32"/>
          <w:szCs w:val="32"/>
          <w:u w:val="none"/>
          <w:lang w:val="en-US" w:eastAsia="zh-CN" w:bidi="ar-SA"/>
        </w:rPr>
        <w:t>2018</w:t>
      </w:r>
      <w:r>
        <w:rPr>
          <w:rFonts w:hint="eastAsia" w:ascii="Times New Roman" w:hAnsi="Times New Roman" w:eastAsia="仿宋_GB2312" w:cs="Times New Roman"/>
          <w:b w:val="0"/>
          <w:bCs w:val="0"/>
          <w:kern w:val="2"/>
          <w:sz w:val="32"/>
          <w:szCs w:val="32"/>
          <w:u w:val="none"/>
          <w:lang w:val="en-US" w:eastAsia="zh-CN" w:bidi="ar-SA"/>
        </w:rPr>
        <w:t>年</w:t>
      </w:r>
      <w:r>
        <w:rPr>
          <w:rFonts w:hint="default" w:ascii="Times New Roman" w:hAnsi="Times New Roman" w:eastAsia="仿宋_GB2312" w:cs="Times New Roman"/>
          <w:b w:val="0"/>
          <w:bCs w:val="0"/>
          <w:kern w:val="2"/>
          <w:sz w:val="32"/>
          <w:szCs w:val="32"/>
          <w:u w:val="none"/>
          <w:lang w:val="en-US" w:eastAsia="zh-CN" w:bidi="ar-SA"/>
        </w:rPr>
        <w:t>1</w:t>
      </w:r>
      <w:r>
        <w:rPr>
          <w:rFonts w:hint="eastAsia" w:ascii="Times New Roman" w:hAnsi="Times New Roman" w:eastAsia="仿宋_GB2312" w:cs="Times New Roman"/>
          <w:b w:val="0"/>
          <w:bCs w:val="0"/>
          <w:kern w:val="2"/>
          <w:sz w:val="32"/>
          <w:szCs w:val="32"/>
          <w:u w:val="none"/>
          <w:lang w:val="en-US" w:eastAsia="zh-CN" w:bidi="ar-SA"/>
        </w:rPr>
        <w:t>月-</w:t>
      </w:r>
      <w:r>
        <w:rPr>
          <w:rFonts w:hint="default" w:ascii="Times New Roman" w:hAnsi="Times New Roman" w:eastAsia="仿宋_GB2312" w:cs="Times New Roman"/>
          <w:b w:val="0"/>
          <w:bCs w:val="0"/>
          <w:kern w:val="2"/>
          <w:sz w:val="32"/>
          <w:szCs w:val="32"/>
          <w:u w:val="none"/>
          <w:lang w:val="en-US" w:eastAsia="zh-CN" w:bidi="ar-SA"/>
        </w:rPr>
        <w:t>2018</w:t>
      </w:r>
      <w:r>
        <w:rPr>
          <w:rFonts w:hint="eastAsia" w:ascii="Times New Roman" w:hAnsi="Times New Roman" w:eastAsia="仿宋_GB2312" w:cs="Times New Roman"/>
          <w:b w:val="0"/>
          <w:bCs w:val="0"/>
          <w:kern w:val="2"/>
          <w:sz w:val="32"/>
          <w:szCs w:val="32"/>
          <w:u w:val="none"/>
          <w:lang w:val="en-US" w:eastAsia="zh-CN" w:bidi="ar-SA"/>
        </w:rPr>
        <w:t>年</w:t>
      </w:r>
      <w:r>
        <w:rPr>
          <w:rFonts w:hint="default" w:ascii="Times New Roman" w:hAnsi="Times New Roman" w:eastAsia="仿宋_GB2312" w:cs="Times New Roman"/>
          <w:b w:val="0"/>
          <w:bCs w:val="0"/>
          <w:kern w:val="2"/>
          <w:sz w:val="32"/>
          <w:szCs w:val="32"/>
          <w:u w:val="none"/>
          <w:lang w:val="en-US" w:eastAsia="zh-CN" w:bidi="ar-SA"/>
        </w:rPr>
        <w:t>12</w:t>
      </w:r>
      <w:r>
        <w:rPr>
          <w:rFonts w:hint="eastAsia" w:ascii="Times New Roman" w:hAnsi="Times New Roman" w:eastAsia="仿宋_GB2312" w:cs="Times New Roman"/>
          <w:b w:val="0"/>
          <w:bCs w:val="0"/>
          <w:kern w:val="2"/>
          <w:sz w:val="32"/>
          <w:szCs w:val="32"/>
          <w:u w:val="none"/>
          <w:lang w:val="en-US" w:eastAsia="zh-CN" w:bidi="ar-SA"/>
        </w:rPr>
        <w:t>月</w:t>
      </w:r>
      <w:r>
        <w:rPr>
          <w:rFonts w:hint="eastAsia" w:ascii="仿宋_GB2312" w:hAnsi="仿宋_GB2312" w:eastAsia="仿宋_GB2312" w:cs="仿宋_GB2312"/>
          <w:b w:val="0"/>
          <w:bCs w:val="0"/>
          <w:kern w:val="2"/>
          <w:sz w:val="32"/>
          <w:szCs w:val="32"/>
          <w:u w:val="none"/>
          <w:lang w:val="en-US" w:eastAsia="zh-CN" w:bidi="ar-SA"/>
        </w:rPr>
        <w:t>，在德国马普外国与国际刑法研究所担任访问学者。主要研究领域为刑事诉讼法学、刑事侦查学、证据学、法社会学。独著：《社会科学证据研究》，独译《各国社区警务模式及比较》、合译《法律与社会（第</w:t>
      </w:r>
      <w:r>
        <w:rPr>
          <w:rFonts w:hint="default" w:ascii="Times New Roman" w:hAnsi="Times New Roman" w:eastAsia="仿宋_GB2312" w:cs="Times New Roman"/>
          <w:b w:val="0"/>
          <w:bCs w:val="0"/>
          <w:kern w:val="2"/>
          <w:sz w:val="32"/>
          <w:szCs w:val="32"/>
          <w:u w:val="none"/>
          <w:lang w:val="en-US" w:eastAsia="zh-CN" w:bidi="ar-SA"/>
        </w:rPr>
        <w:t>9</w:t>
      </w:r>
      <w:r>
        <w:rPr>
          <w:rFonts w:hint="eastAsia" w:ascii="仿宋_GB2312" w:hAnsi="仿宋_GB2312" w:eastAsia="仿宋_GB2312" w:cs="仿宋_GB2312"/>
          <w:b w:val="0"/>
          <w:bCs w:val="0"/>
          <w:kern w:val="2"/>
          <w:sz w:val="32"/>
          <w:szCs w:val="32"/>
          <w:u w:val="none"/>
          <w:lang w:val="en-US" w:eastAsia="zh-CN" w:bidi="ar-SA"/>
        </w:rPr>
        <w:t>版）》《法社会学讲义——学术脉络与理论体系》，在各类核心学术期刊发表论文二十余篇。</w:t>
      </w:r>
    </w:p>
    <w:p>
      <w:pPr>
        <w:keepNext w:val="0"/>
        <w:keepLines w:val="0"/>
        <w:numPr>
          <w:ilvl w:val="0"/>
          <w:numId w:val="0"/>
        </w:numPr>
        <w:spacing w:line="560" w:lineRule="exact"/>
        <w:ind w:firstLine="640" w:firstLineChars="200"/>
        <w:jc w:val="both"/>
        <w:rPr>
          <w:rFonts w:hint="default" w:ascii="黑体" w:hAnsi="黑体" w:eastAsia="黑体" w:cs="黑体"/>
          <w:b w:val="0"/>
          <w:bCs w:val="0"/>
          <w:szCs w:val="32"/>
          <w:highlight w:val="none"/>
          <w:u w:val="none"/>
          <w:lang w:val="en-US" w:eastAsia="zh-CN"/>
        </w:rPr>
      </w:pPr>
      <w:r>
        <w:rPr>
          <w:rFonts w:hint="eastAsia" w:ascii="黑体" w:hAnsi="黑体" w:eastAsia="黑体" w:cs="黑体"/>
          <w:b w:val="0"/>
          <w:bCs w:val="0"/>
          <w:szCs w:val="32"/>
          <w:highlight w:val="none"/>
          <w:u w:val="none"/>
          <w:lang w:val="en-US" w:eastAsia="zh-CN"/>
        </w:rPr>
        <w:t>七、白玉珍</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Cs w:val="32"/>
          <w:u w:val="none"/>
          <w:lang w:val="en-US" w:eastAsia="zh-CN"/>
        </w:rPr>
      </w:pPr>
      <w:r>
        <w:rPr>
          <w:rFonts w:hint="eastAsia" w:ascii="仿宋_GB2312" w:hAnsi="仿宋_GB2312" w:eastAsia="仿宋_GB2312" w:cs="仿宋_GB2312"/>
          <w:b w:val="0"/>
          <w:bCs w:val="0"/>
          <w:szCs w:val="32"/>
          <w:u w:val="none"/>
          <w:lang w:val="en-US" w:eastAsia="zh-CN"/>
        </w:rPr>
        <w:t>现为华金证券重庆分公司副总经理。</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Cs w:val="32"/>
          <w:u w:val="none"/>
          <w:lang w:val="en-US" w:eastAsia="zh-CN"/>
        </w:rPr>
      </w:pPr>
      <w:r>
        <w:rPr>
          <w:rFonts w:hint="eastAsia" w:ascii="黑体" w:hAnsi="黑体" w:eastAsia="黑体" w:cs="黑体"/>
          <w:b w:val="0"/>
          <w:bCs w:val="0"/>
          <w:szCs w:val="32"/>
          <w:u w:val="none"/>
          <w:lang w:val="en-US" w:eastAsia="zh-CN"/>
        </w:rPr>
        <w:t>八、丁胜明</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Cs w:val="32"/>
          <w:u w:val="none"/>
          <w:lang w:val="en-US" w:eastAsia="zh-CN"/>
        </w:rPr>
      </w:pPr>
      <w:r>
        <w:rPr>
          <w:rFonts w:hint="eastAsia" w:ascii="仿宋_GB2312" w:hAnsi="仿宋_GB2312" w:eastAsia="仿宋_GB2312" w:cs="仿宋_GB2312"/>
          <w:b w:val="0"/>
          <w:bCs w:val="0"/>
          <w:szCs w:val="32"/>
          <w:u w:val="none"/>
          <w:lang w:val="en-US" w:eastAsia="zh-CN"/>
        </w:rPr>
        <w:t>西南政法大学法学院副院长，教授，博士生导师，博士后合作导师，北京大学法学博士，中国刑法学研究会国际刑法学分会理事，重庆市法学会未成年人法学研究会秘书长，重庆市第五中级人民法院专家咨询委员会专家委员，西南政法大学法律顾问，西南政法大学比较刑事法学研究院秘书长，西南政法大学刑事检察研究中心学术部主任。主要研究方向为罪责理论、刑法教义学基础理论、共犯理论、构成要件理论、制裁理论。出版著作：《制裁论》、《</w:t>
      </w:r>
      <w:bookmarkStart w:id="4" w:name="OLE_LINK15"/>
      <w:r>
        <w:rPr>
          <w:rFonts w:hint="eastAsia" w:ascii="仿宋_GB2312" w:hAnsi="仿宋_GB2312" w:eastAsia="仿宋_GB2312" w:cs="仿宋_GB2312"/>
          <w:b w:val="0"/>
          <w:bCs w:val="0"/>
          <w:szCs w:val="32"/>
          <w:u w:val="none"/>
          <w:lang w:val="en-US" w:eastAsia="zh-CN"/>
        </w:rPr>
        <w:t>正当化事由的事实前提错误——基于故意论系统思考的研究</w:t>
      </w:r>
      <w:bookmarkEnd w:id="4"/>
      <w:r>
        <w:rPr>
          <w:rFonts w:hint="eastAsia" w:ascii="仿宋_GB2312" w:hAnsi="仿宋_GB2312" w:eastAsia="仿宋_GB2312" w:cs="仿宋_GB2312"/>
          <w:b w:val="0"/>
          <w:bCs w:val="0"/>
          <w:szCs w:val="32"/>
          <w:u w:val="none"/>
          <w:lang w:val="en-US" w:eastAsia="zh-CN"/>
        </w:rPr>
        <w:t>》。</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Cs w:val="32"/>
          <w:highlight w:val="none"/>
          <w:u w:val="none"/>
          <w:lang w:val="en-US" w:eastAsia="zh-CN"/>
        </w:rPr>
      </w:pPr>
      <w:r>
        <w:rPr>
          <w:rFonts w:hint="eastAsia" w:ascii="黑体" w:hAnsi="黑体" w:eastAsia="黑体" w:cs="黑体"/>
          <w:b w:val="0"/>
          <w:bCs w:val="0"/>
          <w:szCs w:val="32"/>
          <w:highlight w:val="none"/>
          <w:u w:val="none"/>
          <w:lang w:val="en-US" w:eastAsia="zh-CN"/>
        </w:rPr>
        <w:t>九、陈小彪</w:t>
      </w:r>
    </w:p>
    <w:p>
      <w:pPr>
        <w:keepNext w:val="0"/>
        <w:keepLines w:val="0"/>
        <w:spacing w:line="560" w:lineRule="exact"/>
        <w:ind w:firstLine="640" w:firstLineChars="200"/>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法学博士，西南政法大学法学院副教授，硕士研究生导师，特殊群体权利保护与犯罪预防中心副主任，重庆市法学会少年法学研究会秘书长、重庆市法学会刑法学研究会理事、重庆市法学会国家安全法学研究会理事。主要研究方向为刑法学、犯罪学、国家安全法学和新闻法治。</w:t>
      </w:r>
    </w:p>
    <w:p>
      <w:pPr>
        <w:keepNext w:val="0"/>
        <w:keepLines w:val="0"/>
        <w:numPr>
          <w:ilvl w:val="0"/>
          <w:numId w:val="0"/>
        </w:numPr>
        <w:spacing w:line="560" w:lineRule="exact"/>
        <w:ind w:firstLine="640" w:firstLineChars="200"/>
        <w:jc w:val="both"/>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十、叶宁</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Cs w:val="32"/>
          <w:u w:val="none"/>
          <w:lang w:val="en-US" w:eastAsia="zh-CN"/>
        </w:rPr>
      </w:pPr>
      <w:r>
        <w:rPr>
          <w:rFonts w:hint="eastAsia" w:ascii="仿宋_GB2312" w:hAnsi="仿宋_GB2312" w:eastAsia="仿宋_GB2312" w:cs="仿宋_GB2312"/>
          <w:b w:val="0"/>
          <w:bCs w:val="0"/>
          <w:color w:val="000000"/>
          <w:szCs w:val="32"/>
          <w:u w:val="none"/>
          <w:lang w:val="en-US" w:eastAsia="zh-CN"/>
        </w:rPr>
        <w:t>西南政法大学与苏黎世大学联合培养法学博士、西南政法大学来华留学法学硕士生导师、诉讼法与司法改革研究中心主任助理、刑事检察研究中心研究员。</w:t>
      </w:r>
      <w:r>
        <w:rPr>
          <w:rFonts w:hint="default" w:ascii="Times New Roman" w:hAnsi="Times New Roman" w:eastAsia="仿宋_GB2312" w:cs="Times New Roman"/>
          <w:b w:val="0"/>
          <w:bCs w:val="0"/>
          <w:color w:val="000000"/>
          <w:szCs w:val="32"/>
          <w:u w:val="none"/>
          <w:lang w:val="en-US" w:eastAsia="zh-CN"/>
        </w:rPr>
        <w:t>2013</w:t>
      </w:r>
      <w:r>
        <w:rPr>
          <w:rFonts w:hint="eastAsia" w:ascii="仿宋_GB2312" w:hAnsi="仿宋_GB2312" w:eastAsia="仿宋_GB2312" w:cs="仿宋_GB2312"/>
          <w:b w:val="0"/>
          <w:bCs w:val="0"/>
          <w:color w:val="000000"/>
          <w:szCs w:val="32"/>
          <w:u w:val="none"/>
          <w:lang w:val="en-US" w:eastAsia="zh-CN"/>
        </w:rPr>
        <w:t>年获中国留学基金委员会全额奖学金、西南政法大学首批公派出国留学奖学金资助赴瑞士苏黎世大学进行“刑事诉讼法中干预基本权利的限度”问题研究。自</w:t>
      </w:r>
      <w:r>
        <w:rPr>
          <w:rFonts w:hint="default" w:ascii="Times New Roman" w:hAnsi="Times New Roman" w:eastAsia="仿宋_GB2312" w:cs="Times New Roman"/>
          <w:b w:val="0"/>
          <w:bCs w:val="0"/>
          <w:color w:val="000000"/>
          <w:szCs w:val="32"/>
          <w:u w:val="none"/>
          <w:lang w:val="en-US" w:eastAsia="zh-CN"/>
        </w:rPr>
        <w:t>2015</w:t>
      </w:r>
      <w:r>
        <w:rPr>
          <w:rFonts w:hint="eastAsia" w:ascii="仿宋_GB2312" w:hAnsi="仿宋_GB2312" w:eastAsia="仿宋_GB2312" w:cs="仿宋_GB2312"/>
          <w:b w:val="0"/>
          <w:bCs w:val="0"/>
          <w:color w:val="000000"/>
          <w:szCs w:val="32"/>
          <w:u w:val="none"/>
          <w:lang w:val="en-US" w:eastAsia="zh-CN"/>
        </w:rPr>
        <w:t>年起，每年为来自东盟等国的司法机关法律人员高级研修班，来自英国、德国、俄罗斯等欧洲国家联合培养硕士研究生进行《中国司法制度》、《中国刑事法律制度》等课程的英文授课；截至</w:t>
      </w:r>
      <w:r>
        <w:rPr>
          <w:rFonts w:hint="default" w:ascii="Times New Roman" w:hAnsi="Times New Roman" w:eastAsia="仿宋_GB2312" w:cs="Times New Roman"/>
          <w:b w:val="0"/>
          <w:bCs w:val="0"/>
          <w:color w:val="000000"/>
          <w:szCs w:val="32"/>
          <w:u w:val="none"/>
          <w:lang w:val="en-US" w:eastAsia="zh-CN"/>
        </w:rPr>
        <w:t>2022</w:t>
      </w:r>
      <w:r>
        <w:rPr>
          <w:rFonts w:hint="eastAsia" w:ascii="仿宋_GB2312" w:hAnsi="仿宋_GB2312" w:eastAsia="仿宋_GB2312" w:cs="仿宋_GB2312"/>
          <w:b w:val="0"/>
          <w:bCs w:val="0"/>
          <w:color w:val="000000"/>
          <w:szCs w:val="32"/>
          <w:u w:val="none"/>
          <w:lang w:val="en-US" w:eastAsia="zh-CN"/>
        </w:rPr>
        <w:t>年，已参与培养七届约九十余名“一带一路”沿线国家法学研究生。</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szCs w:val="32"/>
          <w:u w:val="none"/>
          <w:lang w:val="en-US" w:eastAsia="zh-CN"/>
        </w:rPr>
      </w:pPr>
      <w:r>
        <w:rPr>
          <w:rFonts w:hint="eastAsia" w:ascii="黑体" w:hAnsi="黑体" w:eastAsia="黑体" w:cs="黑体"/>
          <w:b w:val="0"/>
          <w:bCs w:val="0"/>
          <w:color w:val="000000"/>
          <w:szCs w:val="32"/>
          <w:u w:val="none"/>
          <w:lang w:val="en-US" w:eastAsia="zh-CN"/>
        </w:rPr>
        <w:t>十一、陈喆</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Cs w:val="32"/>
          <w:u w:val="none"/>
          <w:lang w:val="en-US" w:eastAsia="zh-CN"/>
        </w:rPr>
      </w:pPr>
      <w:r>
        <w:rPr>
          <w:rFonts w:hint="eastAsia" w:ascii="仿宋_GB2312" w:hAnsi="仿宋_GB2312" w:eastAsia="仿宋_GB2312" w:cs="仿宋_GB2312"/>
          <w:sz w:val="32"/>
          <w:szCs w:val="32"/>
          <w:u w:val="none"/>
          <w:lang w:val="en-US" w:eastAsia="zh-CN"/>
        </w:rPr>
        <w:t>法学博士、博士后，西南政法大学国际法学院副教授。研究方向为国际经济法、国家安全法。主持教育部人文社会科学研究青年基金</w:t>
      </w:r>
      <w:r>
        <w:rPr>
          <w:rFonts w:hint="default" w:ascii="Times New Roman" w:hAnsi="Times New Roman" w:eastAsia="仿宋_GB2312" w:cs="Times New Roman"/>
          <w:sz w:val="32"/>
          <w:szCs w:val="32"/>
          <w:u w:val="none"/>
          <w:lang w:val="en-US" w:eastAsia="zh-CN"/>
        </w:rPr>
        <w:t>1</w:t>
      </w:r>
      <w:r>
        <w:rPr>
          <w:rFonts w:hint="eastAsia" w:ascii="仿宋_GB2312" w:hAnsi="仿宋_GB2312" w:eastAsia="仿宋_GB2312" w:cs="仿宋_GB2312"/>
          <w:sz w:val="32"/>
          <w:szCs w:val="32"/>
          <w:u w:val="none"/>
          <w:lang w:val="en-US" w:eastAsia="zh-CN"/>
        </w:rPr>
        <w:t>项、司法部国家法治与法学理论研究课题</w:t>
      </w:r>
      <w:r>
        <w:rPr>
          <w:rFonts w:hint="default" w:ascii="Times New Roman" w:hAnsi="Times New Roman" w:eastAsia="仿宋_GB2312" w:cs="Times New Roman"/>
          <w:sz w:val="32"/>
          <w:szCs w:val="32"/>
          <w:u w:val="none"/>
          <w:lang w:val="en-US" w:eastAsia="zh-CN"/>
        </w:rPr>
        <w:t>1</w:t>
      </w:r>
      <w:r>
        <w:rPr>
          <w:rFonts w:hint="eastAsia" w:ascii="仿宋_GB2312" w:hAnsi="仿宋_GB2312" w:eastAsia="仿宋_GB2312" w:cs="仿宋_GB2312"/>
          <w:sz w:val="32"/>
          <w:szCs w:val="32"/>
          <w:u w:val="none"/>
          <w:lang w:val="en-US" w:eastAsia="zh-CN"/>
        </w:rPr>
        <w:t>项、重庆市社会科学规划重点智库委托项目</w:t>
      </w:r>
      <w:r>
        <w:rPr>
          <w:rFonts w:hint="default" w:ascii="Times New Roman" w:hAnsi="Times New Roman" w:eastAsia="仿宋_GB2312" w:cs="Times New Roman"/>
          <w:sz w:val="32"/>
          <w:szCs w:val="32"/>
          <w:u w:val="none"/>
          <w:lang w:val="en-US" w:eastAsia="zh-CN"/>
        </w:rPr>
        <w:t>1</w:t>
      </w:r>
      <w:r>
        <w:rPr>
          <w:rFonts w:hint="eastAsia" w:ascii="仿宋_GB2312" w:hAnsi="仿宋_GB2312" w:eastAsia="仿宋_GB2312" w:cs="仿宋_GB2312"/>
          <w:sz w:val="32"/>
          <w:szCs w:val="32"/>
          <w:u w:val="none"/>
          <w:lang w:val="en-US" w:eastAsia="zh-CN"/>
        </w:rPr>
        <w:t>项，著有专著《国家安全视野下贸易限制措施法律制度研究》，在《学海》《厦门大学学报（哲学社会科学版）》《学术论坛》《国际商务研究》等核心期刊发表多篇论文，撰写决策咨询决议多篇并获《人民日报内参》、中央统战部《零讯》、中央国安办采纳。</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szCs w:val="32"/>
          <w:u w:val="none"/>
          <w:lang w:val="en-US" w:eastAsia="zh-CN"/>
        </w:rPr>
      </w:pPr>
      <w:r>
        <w:rPr>
          <w:rFonts w:hint="eastAsia" w:ascii="黑体" w:hAnsi="黑体" w:eastAsia="黑体" w:cs="黑体"/>
          <w:b w:val="0"/>
          <w:bCs w:val="0"/>
          <w:color w:val="000000"/>
          <w:szCs w:val="32"/>
          <w:u w:val="none"/>
          <w:lang w:val="en-US" w:eastAsia="zh-CN"/>
        </w:rPr>
        <w:t>十二、</w:t>
      </w:r>
      <w:bookmarkStart w:id="5" w:name="OLE_LINK32"/>
      <w:r>
        <w:rPr>
          <w:rFonts w:hint="eastAsia" w:ascii="黑体" w:hAnsi="黑体" w:eastAsia="黑体" w:cs="黑体"/>
          <w:b w:val="0"/>
          <w:bCs w:val="0"/>
          <w:color w:val="000000"/>
          <w:szCs w:val="32"/>
          <w:u w:val="none"/>
          <w:lang w:val="en-US" w:eastAsia="zh-CN"/>
        </w:rPr>
        <w:t>曾峥</w:t>
      </w:r>
      <w:bookmarkEnd w:id="5"/>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Cs w:val="32"/>
          <w:u w:val="none"/>
          <w:lang w:val="en-US" w:eastAsia="zh-CN"/>
        </w:rPr>
      </w:pPr>
      <w:r>
        <w:rPr>
          <w:rFonts w:hint="eastAsia" w:ascii="仿宋_GB2312" w:hAnsi="仿宋_GB2312" w:eastAsia="仿宋_GB2312" w:cs="仿宋_GB2312"/>
          <w:b w:val="0"/>
          <w:bCs w:val="0"/>
          <w:szCs w:val="32"/>
          <w:u w:val="none"/>
          <w:lang w:val="en-US" w:eastAsia="zh-CN"/>
        </w:rPr>
        <w:t>上海锦天城律师事务所高级合伙人。在加入锦天城律师事务所前，曾律师拥有长达十年的一线刑事执法经验，主办多起跨境与涉外犯罪、有组织犯罪、涉金融欺诈案件，深度参与国际警务合作与资产追缴工作。曾律师长期专注于资本市场犯罪、商事犯罪与公司合规领域，系在该交叉领域极具实战经验的资深刑事律师。</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Cs w:val="32"/>
          <w:u w:val="none"/>
          <w:lang w:val="en-US" w:eastAsia="zh-CN"/>
        </w:rPr>
      </w:pPr>
      <w:r>
        <w:rPr>
          <w:rFonts w:hint="eastAsia" w:ascii="仿宋_GB2312" w:hAnsi="仿宋_GB2312" w:eastAsia="仿宋_GB2312" w:cs="仿宋_GB2312"/>
          <w:b w:val="0"/>
          <w:bCs w:val="0"/>
          <w:szCs w:val="32"/>
          <w:u w:val="none"/>
          <w:lang w:val="en-US" w:eastAsia="zh-CN"/>
        </w:rPr>
        <w:t>在刑事业务方面，曾律师深耕经济类犯罪与新型商事刑事案件的刑事辩护与风险防控，尤其擅长证券市场相关刑事案件（如欺诈发行、信息披露违规、操纵市场、内幕交易）、非法集资、非法经营、虚开发票、合同诈骗、商业贿赂、滥用职权、侵犯知识产权与个人信息等案件的辩护与代理，具备丰富的刑事程序实践经验及风险应对能力。</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Cs w:val="32"/>
          <w:u w:val="none"/>
          <w:lang w:val="en-US" w:eastAsia="zh-CN"/>
        </w:rPr>
      </w:pPr>
      <w:r>
        <w:rPr>
          <w:rFonts w:hint="eastAsia" w:ascii="仿宋_GB2312" w:hAnsi="仿宋_GB2312" w:eastAsia="仿宋_GB2312" w:cs="仿宋_GB2312"/>
          <w:b w:val="0"/>
          <w:bCs w:val="0"/>
          <w:szCs w:val="32"/>
          <w:u w:val="none"/>
          <w:lang w:val="en-US" w:eastAsia="zh-CN"/>
        </w:rPr>
        <w:t>在企业合规领域，曾律师长期为境内外企业提供合规体系搭建与优化、反舞弊调查、反商业贿赂治理、欺诈行为调查与控告策略，并广泛服务于金融科技、医药器械、化工制造、危险品物流等重点行业。其合规实务涵盖从风险识别、制度设计、证据留存到危机响应与执法沟通的全流程，有效协助客户应对突发刑事执法风险。曾律师在境内外企业高管责任、员工犯罪调查、外部合作方刑事风险识别等方面，亦具备成熟的经验，曾为多家跨国公司、上市公司及头部互联网平台处理复杂刑事案件与重大合规危机，有效协助客户挽回重大经济损失。</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Cs w:val="32"/>
          <w:highlight w:val="none"/>
          <w:u w:val="none"/>
          <w:lang w:val="en-US" w:eastAsia="zh-CN"/>
        </w:rPr>
      </w:pPr>
      <w:r>
        <w:rPr>
          <w:rFonts w:hint="eastAsia" w:ascii="黑体" w:hAnsi="黑体" w:eastAsia="黑体" w:cs="黑体"/>
          <w:b w:val="0"/>
          <w:bCs w:val="0"/>
          <w:szCs w:val="32"/>
          <w:highlight w:val="none"/>
          <w:u w:val="none"/>
          <w:lang w:val="en-US" w:eastAsia="zh-CN"/>
        </w:rPr>
        <w:t>十三、肖忠意</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教授，博士生导师，西南政法大学审计与法治研究中心副主任，兼任教育部学位中心特聘专家、重庆市教委创新创业教育指导委员会委员，兼任民建中央经济委员会委员、民建重庆市委委员；担任第六届重庆市政协委员；第十五届渝北区政协常委、第十四届渝北区政协委员、第五届重庆市政协社情民意特邀信息员、欧美同学会重庆市分会常务理事、欧美同学会渝北区分会常务副会长。近年被聘为重庆市咨政服务专家、重庆市首批统一战线智库专家，重庆市土地征收成片开发专家委员会专家、重庆市地方立法研究协同创新中心研究员、重庆市综合经济研究院特聘研究员，渝北区专家顾问团专家、渝北区智库专家，入选重庆市工商局首批“双千计划”人才。先后撰写咨政报告和社情民意</w:t>
      </w:r>
      <w:r>
        <w:rPr>
          <w:rFonts w:hint="default" w:ascii="Times New Roman" w:hAnsi="Times New Roman" w:eastAsia="仿宋_GB2312" w:cs="Times New Roman"/>
          <w:b w:val="0"/>
          <w:bCs w:val="0"/>
          <w:color w:val="auto"/>
          <w:sz w:val="32"/>
          <w:szCs w:val="32"/>
          <w:u w:val="none"/>
          <w:lang w:val="en-US" w:eastAsia="zh-CN"/>
        </w:rPr>
        <w:t>350</w:t>
      </w:r>
      <w:r>
        <w:rPr>
          <w:rFonts w:hint="eastAsia" w:ascii="仿宋_GB2312" w:hAnsi="仿宋_GB2312" w:eastAsia="仿宋_GB2312" w:cs="仿宋_GB2312"/>
          <w:b w:val="0"/>
          <w:bCs w:val="0"/>
          <w:color w:val="auto"/>
          <w:sz w:val="32"/>
          <w:szCs w:val="32"/>
          <w:u w:val="none"/>
          <w:lang w:val="en-US" w:eastAsia="zh-CN"/>
        </w:rPr>
        <w:t>余篇，近三年被全国政协采用</w:t>
      </w:r>
      <w:r>
        <w:rPr>
          <w:rFonts w:hint="default" w:ascii="Times New Roman" w:hAnsi="Times New Roman" w:eastAsia="仿宋_GB2312" w:cs="Times New Roman"/>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lang w:val="en-US" w:eastAsia="zh-CN"/>
        </w:rPr>
        <w:t>篇，中央统战部《零讯》采用</w:t>
      </w:r>
      <w:r>
        <w:rPr>
          <w:rFonts w:hint="default" w:ascii="Times New Roman" w:hAnsi="Times New Roman" w:eastAsia="仿宋_GB2312" w:cs="Times New Roman"/>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u w:val="none"/>
          <w:lang w:val="en-US" w:eastAsia="zh-CN"/>
        </w:rPr>
        <w:t>篇，获得国家领导和省部级领导批示</w:t>
      </w:r>
      <w:r>
        <w:rPr>
          <w:rFonts w:hint="default" w:ascii="Times New Roman" w:hAnsi="Times New Roman" w:eastAsia="仿宋_GB2312" w:cs="Times New Roman"/>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lang w:val="en-US" w:eastAsia="zh-CN"/>
        </w:rPr>
        <w:t>次；被其他国家部委和省部级《党外人士建言》《重庆政协》等平台采用</w:t>
      </w:r>
      <w:r>
        <w:rPr>
          <w:rFonts w:hint="default" w:ascii="Times New Roman" w:hAnsi="Times New Roman" w:eastAsia="仿宋_GB2312" w:cs="Times New Roman"/>
          <w:b w:val="0"/>
          <w:bCs w:val="0"/>
          <w:color w:val="auto"/>
          <w:sz w:val="32"/>
          <w:szCs w:val="32"/>
          <w:u w:val="none"/>
          <w:lang w:val="en-US" w:eastAsia="zh-CN"/>
        </w:rPr>
        <w:t>50</w:t>
      </w:r>
      <w:r>
        <w:rPr>
          <w:rFonts w:hint="eastAsia" w:ascii="仿宋_GB2312" w:hAnsi="仿宋_GB2312" w:eastAsia="仿宋_GB2312" w:cs="仿宋_GB2312"/>
          <w:b w:val="0"/>
          <w:bCs w:val="0"/>
          <w:color w:val="auto"/>
          <w:sz w:val="32"/>
          <w:szCs w:val="32"/>
          <w:u w:val="none"/>
          <w:lang w:val="en-US" w:eastAsia="zh-CN"/>
        </w:rPr>
        <w:t>余篇。</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十四、</w:t>
      </w:r>
      <w:bookmarkStart w:id="6" w:name="OLE_LINK21"/>
      <w:bookmarkStart w:id="7" w:name="OLE_LINK24"/>
      <w:r>
        <w:rPr>
          <w:rFonts w:hint="eastAsia" w:ascii="黑体" w:hAnsi="黑体" w:eastAsia="黑体" w:cs="黑体"/>
          <w:b w:val="0"/>
          <w:bCs w:val="0"/>
          <w:color w:val="auto"/>
          <w:sz w:val="32"/>
          <w:szCs w:val="32"/>
          <w:u w:val="none"/>
          <w:lang w:val="en-US" w:eastAsia="zh-CN"/>
        </w:rPr>
        <w:t>重庆市第一中级人民法院</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bookmarkStart w:id="8" w:name="OLE_LINK26"/>
      <w:r>
        <w:rPr>
          <w:rFonts w:hint="default" w:ascii="Times New Roman" w:hAnsi="Times New Roman" w:eastAsia="仿宋_GB2312" w:cs="Times New Roman"/>
          <w:b w:val="0"/>
          <w:bCs w:val="0"/>
          <w:color w:val="auto"/>
          <w:sz w:val="32"/>
          <w:szCs w:val="32"/>
          <w:u w:val="none"/>
          <w:lang w:val="en-US" w:eastAsia="zh-CN"/>
        </w:rPr>
        <w:t>重庆市第一中级人民法院</w:t>
      </w:r>
      <w:bookmarkEnd w:id="8"/>
      <w:r>
        <w:rPr>
          <w:rFonts w:hint="default" w:ascii="Times New Roman" w:hAnsi="Times New Roman" w:eastAsia="仿宋_GB2312" w:cs="Times New Roman"/>
          <w:b w:val="0"/>
          <w:bCs w:val="0"/>
          <w:color w:val="auto"/>
          <w:sz w:val="32"/>
          <w:szCs w:val="32"/>
          <w:u w:val="none"/>
          <w:lang w:val="en-US" w:eastAsia="zh-CN"/>
        </w:rPr>
        <w:t>的前身是成立于1950年1月16日的重庆市人民法院。重庆市第一中级人民法院下辖江北、沙坪坝、北碚、渝北、长寿、合川、大足、潼南、铜梁、璧山10个基层法院，涉及880万余人口，辖区地处重庆市经济、政治、文化中心，覆盖了两江新区、西永微电园区、保税港区等多个国家级开发新区、园区。近年来年均审理案件15,000件左右。内设立案庭、刑事审判第一、二庭，民事审判第一、二、三、四庭，行政审判庭，审判监督庭，执行局等10个审判业务部门。</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十五、重庆两江新区人民法院（重庆自由贸易试验区人民法院）</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重庆两江新区（自贸区）法院是经重庆市委专门决定并报请最高法院批复同意设立的，全国首家覆盖自贸区全域的人民法院，是重庆法院深入贯彻习近平总书记对重庆提出的“两点”定位、“两地”“两高”目标、发挥“三个作用”和营造良好政治生态重要指示要求的具体法治实践，于2018年12月24日正式挂牌成立并对外办公，旨在为重庆全面融入共建“一带一路”，加快推动成渝双城经济圈建设、西部陆海新通道建设，提高重庆对外开放水平提供专业化、高水平的司法服务。</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根据职能定位要求，两江新区（自贸区）法院管辖自贸区范围内的涉及投资、贸易、金融等第一审商事案件、全市范围内诉讼标的额为人民币4000万元以下的第一审涉外商事案件、市一中法院辖区内诉讼标的额为500万元以下的第一审知识产权民事案件以及应当由市一中法院辖区内基层人民法院管辖的第一审知识产权行政案件。组织架构上，两江新区（自贸区）法院内设立案庭、综合审判第一庭、综合审判第二庭、知识产权审判庭、涉外商事审判庭、交通运输审判庭、执行局等7个审判业务机构。</w:t>
      </w:r>
    </w:p>
    <w:bookmarkEnd w:id="6"/>
    <w:bookmarkEnd w:id="7"/>
    <w:p>
      <w:pPr>
        <w:keepNext w:val="0"/>
        <w:keepLines w:val="0"/>
        <w:numPr>
          <w:ilvl w:val="0"/>
          <w:numId w:val="0"/>
        </w:numPr>
        <w:spacing w:line="560" w:lineRule="exact"/>
        <w:ind w:firstLine="640" w:firstLineChars="200"/>
        <w:jc w:val="both"/>
        <w:rPr>
          <w:rFonts w:hint="eastAsia" w:ascii="黑体" w:hAnsi="黑体" w:eastAsia="黑体" w:cs="黑体"/>
          <w:u w:val="none"/>
          <w:lang w:val="en-US" w:eastAsia="zh-CN"/>
        </w:rPr>
      </w:pPr>
      <w:r>
        <w:rPr>
          <w:rFonts w:hint="eastAsia" w:ascii="黑体" w:hAnsi="黑体" w:eastAsia="黑体" w:cs="黑体"/>
          <w:b w:val="0"/>
          <w:bCs w:val="0"/>
          <w:color w:val="auto"/>
          <w:sz w:val="32"/>
          <w:szCs w:val="32"/>
          <w:u w:val="none"/>
          <w:lang w:val="en-US" w:eastAsia="zh-CN"/>
        </w:rPr>
        <w:t>十六、</w:t>
      </w:r>
      <w:r>
        <w:rPr>
          <w:rFonts w:hint="eastAsia" w:ascii="黑体" w:hAnsi="黑体" w:eastAsia="黑体" w:cs="黑体"/>
          <w:b w:val="0"/>
          <w:bCs w:val="0"/>
          <w:szCs w:val="32"/>
          <w:u w:val="none"/>
          <w:lang w:val="en-US" w:eastAsia="zh-CN"/>
        </w:rPr>
        <w:t>谢佳君</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Cs w:val="32"/>
          <w:u w:val="none"/>
          <w:lang w:val="en-US" w:eastAsia="zh-CN"/>
        </w:rPr>
      </w:pPr>
      <w:bookmarkStart w:id="9" w:name="OLE_LINK28"/>
      <w:bookmarkStart w:id="10" w:name="OLE_LINK27"/>
      <w:r>
        <w:rPr>
          <w:rFonts w:hint="eastAsia" w:ascii="仿宋_GB2312" w:hAnsi="仿宋_GB2312" w:eastAsia="仿宋_GB2312" w:cs="仿宋_GB2312"/>
          <w:b w:val="0"/>
          <w:bCs w:val="0"/>
          <w:szCs w:val="32"/>
          <w:u w:val="none"/>
          <w:lang w:val="en-US" w:eastAsia="zh-CN"/>
        </w:rPr>
        <w:t>法学博士，西南政法大学法学院副教授、硕士生导师</w:t>
      </w:r>
      <w:bookmarkEnd w:id="9"/>
      <w:r>
        <w:rPr>
          <w:rFonts w:hint="eastAsia" w:ascii="仿宋_GB2312" w:hAnsi="仿宋_GB2312" w:eastAsia="仿宋_GB2312" w:cs="仿宋_GB2312"/>
          <w:b w:val="0"/>
          <w:bCs w:val="0"/>
          <w:szCs w:val="32"/>
          <w:u w:val="none"/>
          <w:lang w:val="en-US" w:eastAsia="zh-CN"/>
        </w:rPr>
        <w:t>。</w:t>
      </w:r>
      <w:bookmarkEnd w:id="10"/>
      <w:r>
        <w:rPr>
          <w:rFonts w:hint="default" w:ascii="Times New Roman" w:hAnsi="Times New Roman" w:eastAsia="仿宋_GB2312" w:cs="Times New Roman"/>
          <w:b w:val="0"/>
          <w:bCs w:val="0"/>
          <w:szCs w:val="32"/>
          <w:u w:val="none"/>
          <w:lang w:val="en-US" w:eastAsia="zh-CN"/>
        </w:rPr>
        <w:t>2013</w:t>
      </w:r>
      <w:r>
        <w:rPr>
          <w:rFonts w:hint="eastAsia" w:ascii="仿宋_GB2312" w:hAnsi="仿宋_GB2312" w:eastAsia="仿宋_GB2312" w:cs="仿宋_GB2312"/>
          <w:b w:val="0"/>
          <w:bCs w:val="0"/>
          <w:szCs w:val="32"/>
          <w:u w:val="none"/>
          <w:lang w:val="en-US" w:eastAsia="zh-CN"/>
        </w:rPr>
        <w:t>年</w:t>
      </w:r>
      <w:r>
        <w:rPr>
          <w:rFonts w:hint="default" w:ascii="Times New Roman" w:hAnsi="Times New Roman" w:eastAsia="仿宋_GB2312" w:cs="Times New Roman"/>
          <w:b w:val="0"/>
          <w:bCs w:val="0"/>
          <w:szCs w:val="32"/>
          <w:u w:val="none"/>
          <w:lang w:val="en-US" w:eastAsia="zh-CN"/>
        </w:rPr>
        <w:t>3</w:t>
      </w:r>
      <w:r>
        <w:rPr>
          <w:rFonts w:hint="eastAsia" w:ascii="仿宋_GB2312" w:hAnsi="仿宋_GB2312" w:eastAsia="仿宋_GB2312" w:cs="仿宋_GB2312"/>
          <w:b w:val="0"/>
          <w:bCs w:val="0"/>
          <w:szCs w:val="32"/>
          <w:u w:val="none"/>
          <w:lang w:val="en-US" w:eastAsia="zh-CN"/>
        </w:rPr>
        <w:t>月获得日本早稻田大学法学博士学位。</w:t>
      </w:r>
      <w:r>
        <w:rPr>
          <w:rFonts w:hint="default" w:ascii="Times New Roman" w:hAnsi="Times New Roman" w:eastAsia="仿宋_GB2312" w:cs="Times New Roman"/>
          <w:b w:val="0"/>
          <w:bCs w:val="0"/>
          <w:szCs w:val="32"/>
          <w:u w:val="none"/>
          <w:lang w:val="en-US" w:eastAsia="zh-CN"/>
        </w:rPr>
        <w:t>2017</w:t>
      </w:r>
      <w:r>
        <w:rPr>
          <w:rFonts w:hint="eastAsia" w:ascii="仿宋_GB2312" w:hAnsi="仿宋_GB2312" w:eastAsia="仿宋_GB2312" w:cs="仿宋_GB2312"/>
          <w:b w:val="0"/>
          <w:bCs w:val="0"/>
          <w:szCs w:val="32"/>
          <w:u w:val="none"/>
          <w:lang w:val="en-US" w:eastAsia="zh-CN"/>
        </w:rPr>
        <w:t>年</w:t>
      </w:r>
      <w:r>
        <w:rPr>
          <w:rFonts w:hint="default" w:ascii="Times New Roman" w:hAnsi="Times New Roman" w:eastAsia="仿宋_GB2312" w:cs="Times New Roman"/>
          <w:b w:val="0"/>
          <w:bCs w:val="0"/>
          <w:szCs w:val="32"/>
          <w:u w:val="none"/>
          <w:lang w:val="en-US" w:eastAsia="zh-CN"/>
        </w:rPr>
        <w:t>10</w:t>
      </w:r>
      <w:r>
        <w:rPr>
          <w:rFonts w:hint="eastAsia" w:ascii="仿宋_GB2312" w:hAnsi="仿宋_GB2312" w:eastAsia="仿宋_GB2312" w:cs="仿宋_GB2312"/>
          <w:b w:val="0"/>
          <w:bCs w:val="0"/>
          <w:szCs w:val="32"/>
          <w:u w:val="none"/>
          <w:lang w:val="en-US" w:eastAsia="zh-CN"/>
        </w:rPr>
        <w:t>月-</w:t>
      </w:r>
      <w:r>
        <w:rPr>
          <w:rFonts w:hint="default" w:ascii="Times New Roman" w:hAnsi="Times New Roman" w:eastAsia="仿宋_GB2312" w:cs="Times New Roman"/>
          <w:b w:val="0"/>
          <w:bCs w:val="0"/>
          <w:szCs w:val="32"/>
          <w:u w:val="none"/>
          <w:lang w:val="en-US" w:eastAsia="zh-CN"/>
        </w:rPr>
        <w:t>2018</w:t>
      </w:r>
      <w:r>
        <w:rPr>
          <w:rFonts w:hint="eastAsia" w:ascii="仿宋_GB2312" w:hAnsi="仿宋_GB2312" w:eastAsia="仿宋_GB2312" w:cs="仿宋_GB2312"/>
          <w:b w:val="0"/>
          <w:bCs w:val="0"/>
          <w:szCs w:val="32"/>
          <w:u w:val="none"/>
          <w:lang w:val="en-US" w:eastAsia="zh-CN"/>
        </w:rPr>
        <w:t>年</w:t>
      </w:r>
      <w:r>
        <w:rPr>
          <w:rFonts w:hint="default" w:ascii="Times New Roman" w:hAnsi="Times New Roman" w:eastAsia="仿宋_GB2312" w:cs="Times New Roman"/>
          <w:b w:val="0"/>
          <w:bCs w:val="0"/>
          <w:szCs w:val="32"/>
          <w:u w:val="none"/>
          <w:lang w:val="en-US" w:eastAsia="zh-CN"/>
        </w:rPr>
        <w:t>8</w:t>
      </w:r>
      <w:r>
        <w:rPr>
          <w:rFonts w:hint="eastAsia" w:ascii="仿宋_GB2312" w:hAnsi="仿宋_GB2312" w:eastAsia="仿宋_GB2312" w:cs="仿宋_GB2312"/>
          <w:b w:val="0"/>
          <w:bCs w:val="0"/>
          <w:szCs w:val="32"/>
          <w:u w:val="none"/>
          <w:lang w:val="en-US" w:eastAsia="zh-CN"/>
        </w:rPr>
        <w:t>月日本京都大学访问学者。主要研究领域：中国刑法学研究、比较刑法学研究、医事刑法学研究、共同犯理论研究。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Cs w:val="32"/>
          <w:highlight w:val="none"/>
          <w:u w:val="none"/>
          <w:lang w:val="en-US" w:eastAsia="zh-CN"/>
        </w:rPr>
      </w:pPr>
      <w:r>
        <w:rPr>
          <w:rFonts w:hint="eastAsia" w:ascii="黑体" w:hAnsi="黑体" w:eastAsia="黑体" w:cs="黑体"/>
          <w:b w:val="0"/>
          <w:bCs w:val="0"/>
          <w:szCs w:val="32"/>
          <w:highlight w:val="none"/>
          <w:u w:val="none"/>
          <w:lang w:val="en-US" w:eastAsia="zh-CN"/>
        </w:rPr>
        <w:t>十七、谢玲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Cs w:val="32"/>
          <w:u w:val="none"/>
          <w:lang w:val="en-US" w:eastAsia="zh-CN"/>
        </w:rPr>
      </w:pPr>
      <w:r>
        <w:rPr>
          <w:rFonts w:hint="eastAsia" w:ascii="仿宋_GB2312" w:hAnsi="仿宋_GB2312" w:eastAsia="仿宋_GB2312" w:cs="仿宋_GB2312"/>
          <w:b w:val="0"/>
          <w:bCs w:val="0"/>
          <w:u w:val="none"/>
          <w:lang w:val="en-US" w:eastAsia="zh-CN"/>
        </w:rPr>
        <w:t>法学博士，犯罪学博士后，西南政法大学刑事侦查学院副教授，硕士生导师，新型网络犯罪治理教研室主任，研究方向为新型网络犯罪侦查、犯罪学、国家安全学。曾在部队服役十年，重庆市政府法制办法规一处从事地方立法工作，</w:t>
      </w:r>
      <w:r>
        <w:rPr>
          <w:rFonts w:hint="default" w:ascii="Times New Roman" w:hAnsi="Times New Roman" w:eastAsia="仿宋_GB2312" w:cs="Times New Roman"/>
          <w:b w:val="0"/>
          <w:bCs w:val="0"/>
          <w:u w:val="none"/>
          <w:lang w:val="en-US" w:eastAsia="zh-CN"/>
        </w:rPr>
        <w:t>2018</w:t>
      </w:r>
      <w:r>
        <w:rPr>
          <w:rFonts w:hint="eastAsia" w:ascii="仿宋_GB2312" w:hAnsi="仿宋_GB2312" w:eastAsia="仿宋_GB2312" w:cs="仿宋_GB2312"/>
          <w:b w:val="0"/>
          <w:bCs w:val="0"/>
          <w:u w:val="none"/>
          <w:lang w:val="en-US" w:eastAsia="zh-CN"/>
        </w:rPr>
        <w:t>年底中校转业至西南政法大学工作。系兼职律师，兼职司法鉴定人，全国新型犯罪研究中心重庆分中心研究员，首批川渝妇女儿童维权专家，重庆市妇联党委联系服务法律专家，重庆市妇女理论研究会第五届理事会员，重庆市两江新区普法讲师团成员，西南政法大学反诈宣讲团指导老师。任教以来，在《国际展望》《学术论坛》《中国青年社会科学》《澳门法学》《人大复印资料》《中国人民公安大学学报》《检察日报》《公安内参》等发表论文、文章、智库</w:t>
      </w:r>
      <w:r>
        <w:rPr>
          <w:rFonts w:hint="eastAsia" w:ascii="Times New Roman" w:hAnsi="Times New Roman" w:eastAsia="仿宋_GB2312" w:cs="Times New Roman"/>
          <w:b w:val="0"/>
          <w:bCs w:val="0"/>
          <w:u w:val="none"/>
          <w:lang w:val="en-US" w:eastAsia="zh-CN"/>
        </w:rPr>
        <w:t>40</w:t>
      </w:r>
      <w:r>
        <w:rPr>
          <w:rFonts w:hint="eastAsia" w:ascii="仿宋_GB2312" w:hAnsi="仿宋_GB2312" w:eastAsia="仿宋_GB2312" w:cs="仿宋_GB2312"/>
          <w:b w:val="0"/>
          <w:bCs w:val="0"/>
          <w:u w:val="none"/>
          <w:lang w:val="en-US" w:eastAsia="zh-CN"/>
        </w:rPr>
        <w:t>余篇；主持国家级项目</w:t>
      </w:r>
      <w:r>
        <w:rPr>
          <w:rFonts w:hint="default" w:ascii="Times New Roman" w:hAnsi="Times New Roman" w:eastAsia="仿宋_GB2312" w:cs="Times New Roman"/>
          <w:b w:val="0"/>
          <w:bCs w:val="0"/>
          <w:u w:val="none"/>
          <w:lang w:val="en-US" w:eastAsia="zh-CN"/>
        </w:rPr>
        <w:t>1</w:t>
      </w:r>
      <w:r>
        <w:rPr>
          <w:rFonts w:hint="eastAsia" w:ascii="仿宋_GB2312" w:hAnsi="仿宋_GB2312" w:eastAsia="仿宋_GB2312" w:cs="仿宋_GB2312"/>
          <w:b w:val="0"/>
          <w:bCs w:val="0"/>
          <w:u w:val="none"/>
          <w:lang w:val="en-US" w:eastAsia="zh-CN"/>
        </w:rPr>
        <w:t>项，省部级项目</w:t>
      </w:r>
      <w:r>
        <w:rPr>
          <w:rFonts w:hint="eastAsia" w:ascii="Times New Roman" w:hAnsi="Times New Roman" w:eastAsia="仿宋_GB2312" w:cs="Times New Roman"/>
          <w:b w:val="0"/>
          <w:bCs w:val="0"/>
          <w:u w:val="none"/>
          <w:lang w:val="en-US" w:eastAsia="zh-CN"/>
        </w:rPr>
        <w:t>5</w:t>
      </w:r>
      <w:r>
        <w:rPr>
          <w:rFonts w:hint="eastAsia" w:ascii="仿宋_GB2312" w:hAnsi="仿宋_GB2312" w:eastAsia="仿宋_GB2312" w:cs="仿宋_GB2312"/>
          <w:b w:val="0"/>
          <w:bCs w:val="0"/>
          <w:u w:val="none"/>
          <w:lang w:val="en-US" w:eastAsia="zh-CN"/>
        </w:rPr>
        <w:t>项，校级项目</w:t>
      </w:r>
      <w:r>
        <w:rPr>
          <w:rFonts w:hint="eastAsia" w:ascii="Times New Roman" w:hAnsi="Times New Roman" w:eastAsia="仿宋_GB2312" w:cs="Times New Roman"/>
          <w:b w:val="0"/>
          <w:bCs w:val="0"/>
          <w:u w:val="none"/>
          <w:lang w:val="en-US" w:eastAsia="zh-CN"/>
        </w:rPr>
        <w:t>6</w:t>
      </w:r>
      <w:r>
        <w:rPr>
          <w:rFonts w:hint="eastAsia" w:ascii="仿宋_GB2312" w:hAnsi="仿宋_GB2312" w:eastAsia="仿宋_GB2312" w:cs="仿宋_GB2312"/>
          <w:b w:val="0"/>
          <w:bCs w:val="0"/>
          <w:u w:val="none"/>
          <w:lang w:val="en-US" w:eastAsia="zh-CN"/>
        </w:rPr>
        <w:t>项。</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Cs w:val="32"/>
          <w:u w:val="none"/>
          <w:lang w:val="en-US" w:eastAsia="zh-CN"/>
        </w:rPr>
      </w:pPr>
      <w:r>
        <w:rPr>
          <w:rFonts w:hint="eastAsia" w:ascii="黑体" w:hAnsi="黑体" w:eastAsia="黑体" w:cs="黑体"/>
          <w:b w:val="0"/>
          <w:bCs w:val="0"/>
          <w:szCs w:val="32"/>
          <w:u w:val="none"/>
          <w:lang w:val="en-US" w:eastAsia="zh-CN"/>
        </w:rPr>
        <w:t>十八、</w:t>
      </w:r>
      <w:bookmarkStart w:id="11" w:name="OLE_LINK30"/>
      <w:r>
        <w:rPr>
          <w:rFonts w:hint="eastAsia" w:ascii="黑体" w:hAnsi="黑体" w:eastAsia="黑体" w:cs="黑体"/>
          <w:b w:val="0"/>
          <w:bCs w:val="0"/>
          <w:szCs w:val="32"/>
          <w:u w:val="none"/>
          <w:lang w:val="en-US" w:eastAsia="zh-CN"/>
        </w:rPr>
        <w:t>阳明宇</w:t>
      </w:r>
      <w:bookmarkEnd w:id="11"/>
    </w:p>
    <w:p>
      <w:pPr>
        <w:widowControl/>
        <w:spacing w:line="560" w:lineRule="exact"/>
        <w:ind w:firstLine="640" w:firstLineChars="200"/>
        <w:rPr>
          <w:rFonts w:hint="eastAsia" w:eastAsia="仿宋_GB2312"/>
          <w:u w:val="none"/>
          <w:lang w:val="en-US" w:eastAsia="zh-CN"/>
        </w:rPr>
      </w:pPr>
      <w:r>
        <w:rPr>
          <w:rFonts w:hint="eastAsia" w:ascii="仿宋_GB2312" w:hAnsi="仿宋_GB2312" w:eastAsia="仿宋_GB2312" w:cs="仿宋_GB2312"/>
          <w:b w:val="0"/>
          <w:bCs w:val="0"/>
          <w:color w:val="000000"/>
          <w:kern w:val="0"/>
          <w:sz w:val="32"/>
          <w:szCs w:val="32"/>
          <w:u w:val="none"/>
          <w:lang w:val="en-US" w:eastAsia="zh-CN" w:bidi="ar"/>
        </w:rPr>
        <w:t>阳律师本科毕业于西南政法大学，执业数年后赴美深造，现为</w:t>
      </w:r>
      <w:bookmarkStart w:id="12" w:name="OLE_LINK31"/>
      <w:r>
        <w:rPr>
          <w:rFonts w:hint="eastAsia" w:ascii="仿宋_GB2312" w:hAnsi="仿宋_GB2312" w:eastAsia="仿宋_GB2312" w:cs="仿宋_GB2312"/>
          <w:b w:val="0"/>
          <w:bCs w:val="0"/>
          <w:color w:val="000000"/>
          <w:kern w:val="0"/>
          <w:sz w:val="32"/>
          <w:szCs w:val="32"/>
          <w:u w:val="none"/>
          <w:lang w:val="en-US" w:eastAsia="zh-CN" w:bidi="ar"/>
        </w:rPr>
        <w:t>泰和泰（重庆）律师事务所</w:t>
      </w:r>
      <w:bookmarkEnd w:id="12"/>
      <w:r>
        <w:rPr>
          <w:rFonts w:hint="eastAsia" w:ascii="仿宋_GB2312" w:hAnsi="仿宋_GB2312" w:eastAsia="仿宋_GB2312" w:cs="仿宋_GB2312"/>
          <w:b w:val="0"/>
          <w:bCs w:val="0"/>
          <w:color w:val="000000"/>
          <w:kern w:val="0"/>
          <w:sz w:val="32"/>
          <w:szCs w:val="32"/>
          <w:u w:val="none"/>
          <w:lang w:val="en-US" w:eastAsia="zh-CN" w:bidi="ar"/>
        </w:rPr>
        <w:t>合伙人，</w:t>
      </w:r>
      <w:bookmarkStart w:id="13" w:name="OLE_LINK29"/>
      <w:r>
        <w:rPr>
          <w:rFonts w:hint="eastAsia" w:ascii="仿宋_GB2312" w:hAnsi="仿宋_GB2312" w:eastAsia="仿宋_GB2312" w:cs="仿宋_GB2312"/>
          <w:b w:val="0"/>
          <w:bCs w:val="0"/>
          <w:color w:val="000000"/>
          <w:kern w:val="0"/>
          <w:sz w:val="32"/>
          <w:szCs w:val="32"/>
          <w:u w:val="none"/>
          <w:lang w:val="en-US" w:eastAsia="zh-CN" w:bidi="ar"/>
        </w:rPr>
        <w:t>重庆两江新区律工委副主任</w:t>
      </w:r>
      <w:bookmarkEnd w:id="13"/>
      <w:r>
        <w:rPr>
          <w:rFonts w:hint="eastAsia" w:ascii="仿宋_GB2312" w:hAnsi="仿宋_GB2312" w:eastAsia="仿宋_GB2312" w:cs="仿宋_GB2312"/>
          <w:b w:val="0"/>
          <w:bCs w:val="0"/>
          <w:color w:val="000000"/>
          <w:kern w:val="0"/>
          <w:sz w:val="32"/>
          <w:szCs w:val="32"/>
          <w:u w:val="none"/>
          <w:lang w:val="en-US" w:eastAsia="zh-CN" w:bidi="ar"/>
        </w:rPr>
        <w:t>，美国联邦刑事律师协会</w:t>
      </w:r>
      <w:r>
        <w:rPr>
          <w:rFonts w:hint="default" w:ascii="Times New Roman" w:hAnsi="Times New Roman" w:eastAsia="仿宋_GB2312" w:cs="Times New Roman"/>
          <w:b w:val="0"/>
          <w:bCs w:val="0"/>
          <w:color w:val="000000"/>
          <w:kern w:val="0"/>
          <w:sz w:val="32"/>
          <w:szCs w:val="32"/>
          <w:u w:val="none"/>
          <w:lang w:val="en-US" w:eastAsia="zh-CN" w:bidi="ar"/>
        </w:rPr>
        <w:t>(NACDL</w:t>
      </w:r>
      <w:r>
        <w:rPr>
          <w:rFonts w:hint="eastAsia" w:ascii="仿宋_GB2312" w:hAnsi="仿宋_GB2312" w:eastAsia="仿宋_GB2312" w:cs="仿宋_GB2312"/>
          <w:b w:val="0"/>
          <w:bCs w:val="0"/>
          <w:color w:val="000000"/>
          <w:kern w:val="0"/>
          <w:sz w:val="32"/>
          <w:szCs w:val="32"/>
          <w:u w:val="none"/>
          <w:lang w:val="en-US" w:eastAsia="zh-CN" w:bidi="ar"/>
        </w:rPr>
        <w:t>)国际会员。</w:t>
      </w:r>
      <w:r>
        <w:rPr>
          <w:rFonts w:hint="eastAsia" w:eastAsia="仿宋_GB2312"/>
          <w:u w:val="none"/>
          <w:lang w:val="en-US" w:eastAsia="zh-CN"/>
        </w:rPr>
        <w:t>专业领域：公司法、商事犯罪及刑民交叉、涉外案件。</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Cs w:val="32"/>
          <w:u w:val="none"/>
          <w:lang w:val="en-US" w:eastAsia="zh-CN"/>
        </w:rPr>
        <w:sectPr>
          <w:footerReference r:id="rId3" w:type="default"/>
          <w:footerReference r:id="rId4" w:type="even"/>
          <w:pgSz w:w="11906" w:h="16838"/>
          <w:pgMar w:top="2098" w:right="1474" w:bottom="1984" w:left="1587" w:header="851" w:footer="1587" w:gutter="0"/>
          <w:pgNumType w:fmt="decimal"/>
          <w:cols w:space="720" w:num="1"/>
          <w:docGrid w:type="lines" w:linePitch="312" w:charSpace="0"/>
        </w:sectPr>
      </w:pP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Cs w:val="32"/>
          <w:u w:val="none"/>
          <w:lang w:val="en-US" w:eastAsia="zh-CN"/>
        </w:rPr>
      </w:pPr>
      <w:r>
        <w:rPr>
          <w:rFonts w:hint="eastAsia" w:ascii="黑体" w:hAnsi="黑体" w:eastAsia="黑体" w:cs="黑体"/>
          <w:b w:val="0"/>
          <w:bCs w:val="0"/>
          <w:szCs w:val="32"/>
          <w:u w:val="none"/>
          <w:lang w:val="en-US" w:eastAsia="zh-CN"/>
        </w:rPr>
        <w:t>十九、</w:t>
      </w:r>
      <w:bookmarkStart w:id="14" w:name="OLE_LINK22"/>
      <w:r>
        <w:rPr>
          <w:rFonts w:hint="eastAsia" w:ascii="黑体" w:hAnsi="黑体" w:eastAsia="黑体" w:cs="黑体"/>
          <w:b w:val="0"/>
          <w:bCs w:val="0"/>
          <w:szCs w:val="32"/>
          <w:u w:val="none"/>
          <w:lang w:val="en-US" w:eastAsia="zh-CN"/>
        </w:rPr>
        <w:t>艾静</w:t>
      </w:r>
      <w:bookmarkEnd w:id="14"/>
    </w:p>
    <w:p>
      <w:pPr>
        <w:widowControl w:val="0"/>
        <w:spacing w:after="0" w:line="560" w:lineRule="exact"/>
        <w:ind w:left="0" w:leftChars="0" w:firstLine="640" w:firstLineChars="200"/>
        <w:jc w:val="both"/>
        <w:rPr>
          <w:rFonts w:hint="eastAsia" w:ascii="仿宋_GB2312" w:hAnsi="仿宋_GB2312" w:eastAsia="仿宋_GB2312" w:cs="仿宋_GB2312"/>
          <w:kern w:val="2"/>
          <w:sz w:val="32"/>
          <w:szCs w:val="22"/>
          <w:u w:val="none"/>
          <w:lang w:val="en-US" w:eastAsia="zh-CN" w:bidi="ar-SA"/>
        </w:rPr>
      </w:pPr>
      <w:r>
        <w:rPr>
          <w:rFonts w:hint="eastAsia" w:ascii="仿宋_GB2312" w:hAnsi="仿宋_GB2312" w:eastAsia="仿宋_GB2312" w:cs="仿宋_GB2312"/>
          <w:kern w:val="2"/>
          <w:sz w:val="32"/>
          <w:szCs w:val="32"/>
          <w:u w:val="none"/>
          <w:lang w:val="en-US" w:eastAsia="zh-CN" w:bidi="ar-SA"/>
        </w:rPr>
        <w:t>北京市盈科律师事务所管委会副主任、高级合伙人，北京市律师协会刑事诉讼专业委员会副主任。</w:t>
      </w:r>
      <w:r>
        <w:rPr>
          <w:rFonts w:hint="eastAsia" w:ascii="仿宋_GB2312" w:hAnsi="仿宋_GB2312" w:eastAsia="仿宋_GB2312" w:cs="仿宋_GB2312"/>
          <w:b w:val="0"/>
          <w:bCs w:val="0"/>
          <w:szCs w:val="32"/>
          <w:u w:val="none"/>
          <w:lang w:val="en-US" w:eastAsia="zh-CN"/>
        </w:rPr>
        <w:t>出版个人专著《我国刑事简易程序的改革与完善》（</w:t>
      </w:r>
      <w:r>
        <w:rPr>
          <w:rFonts w:hint="default" w:ascii="Times New Roman" w:hAnsi="Times New Roman" w:eastAsia="仿宋_GB2312" w:cs="Times New Roman"/>
          <w:b w:val="0"/>
          <w:bCs w:val="0"/>
          <w:szCs w:val="32"/>
          <w:u w:val="none"/>
          <w:lang w:val="en-US" w:eastAsia="zh-CN"/>
        </w:rPr>
        <w:t>2013</w:t>
      </w:r>
      <w:r>
        <w:rPr>
          <w:rFonts w:hint="eastAsia" w:ascii="仿宋_GB2312" w:hAnsi="仿宋_GB2312" w:eastAsia="仿宋_GB2312" w:cs="仿宋_GB2312"/>
          <w:b w:val="0"/>
          <w:bCs w:val="0"/>
          <w:szCs w:val="32"/>
          <w:u w:val="none"/>
          <w:lang w:val="en-US" w:eastAsia="zh-CN"/>
        </w:rPr>
        <w:t>年法律出版社）；作为副主编参与编写《刑事诉讼规范适用全典》（</w:t>
      </w:r>
      <w:r>
        <w:rPr>
          <w:rFonts w:hint="default" w:ascii="Times New Roman" w:hAnsi="Times New Roman" w:eastAsia="仿宋_GB2312" w:cs="Times New Roman"/>
          <w:b w:val="0"/>
          <w:bCs w:val="0"/>
          <w:szCs w:val="32"/>
          <w:u w:val="none"/>
          <w:lang w:val="en-US" w:eastAsia="zh-CN"/>
        </w:rPr>
        <w:t>2016</w:t>
      </w:r>
      <w:r>
        <w:rPr>
          <w:rFonts w:hint="eastAsia" w:ascii="仿宋_GB2312" w:hAnsi="仿宋_GB2312" w:eastAsia="仿宋_GB2312" w:cs="仿宋_GB2312"/>
          <w:b w:val="0"/>
          <w:bCs w:val="0"/>
          <w:szCs w:val="32"/>
          <w:u w:val="none"/>
          <w:lang w:val="en-US" w:eastAsia="zh-CN"/>
        </w:rPr>
        <w:t>年中国法制出版社）；作为主要编委参与编写《刑法条文理解与司法适用》（</w:t>
      </w:r>
      <w:r>
        <w:rPr>
          <w:rFonts w:hint="default" w:ascii="Times New Roman" w:hAnsi="Times New Roman" w:eastAsia="仿宋_GB2312" w:cs="Times New Roman"/>
          <w:b w:val="0"/>
          <w:bCs w:val="0"/>
          <w:szCs w:val="32"/>
          <w:u w:val="none"/>
          <w:lang w:val="en-US" w:eastAsia="zh-CN"/>
        </w:rPr>
        <w:t>2021</w:t>
      </w:r>
      <w:r>
        <w:rPr>
          <w:rFonts w:hint="eastAsia" w:ascii="仿宋_GB2312" w:hAnsi="仿宋_GB2312" w:eastAsia="仿宋_GB2312" w:cs="仿宋_GB2312"/>
          <w:b w:val="0"/>
          <w:bCs w:val="0"/>
          <w:szCs w:val="32"/>
          <w:u w:val="none"/>
          <w:lang w:val="en-US" w:eastAsia="zh-CN"/>
        </w:rPr>
        <w:t>年法律出版社）。律师执业以来，代理过多起有影响力、疑难复杂的刑事案件，代理某领域内世界排名第一的民营企业实现涉外控告刑事立案，并曾为韩国驻中国大使馆、韩国公共部门以及多家韩国跨国集团提供刑事法律服务。</w:t>
      </w:r>
    </w:p>
    <w:p>
      <w:pPr>
        <w:widowControl/>
        <w:tabs>
          <w:tab w:val="center" w:pos="4368"/>
          <w:tab w:val="right" w:pos="8306"/>
        </w:tabs>
        <w:spacing w:line="240" w:lineRule="exact"/>
        <w:jc w:val="left"/>
        <w:rPr>
          <w:rFonts w:hint="default" w:ascii="FangSong_GB2312" w:hAnsi="FangSong_GB2312" w:cs="FangSong_GB2312"/>
          <w:szCs w:val="32"/>
        </w:rPr>
      </w:pPr>
    </w:p>
    <w:sectPr>
      <w:footerReference r:id="rId5" w:type="default"/>
      <w:footerReference r:id="rId6" w:type="even"/>
      <w:pgSz w:w="11906" w:h="16838"/>
      <w:pgMar w:top="2098" w:right="1474" w:bottom="1984" w:left="1587"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6A49EA-63DC-43CF-894B-1B6039E420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_GB2312">
    <w:altName w:val="仿宋_GB2312"/>
    <w:panose1 w:val="020B0604020202020204"/>
    <w:charset w:val="86"/>
    <w:family w:val="auto"/>
    <w:pitch w:val="default"/>
    <w:sig w:usb0="00000000" w:usb1="00000000" w:usb2="00000000" w:usb3="00000000" w:csb0="00040000" w:csb1="00000000"/>
    <w:embedRegular r:id="rId2" w:fontKey="{BA7E87AC-8685-43FC-96B1-DE0BCED748B5}"/>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4D3C7E02-E6DD-4EDF-9FF4-3AF466AF046A}"/>
  </w:font>
  <w:font w:name="方正小标宋简体">
    <w:panose1 w:val="03000509000000000000"/>
    <w:charset w:val="86"/>
    <w:family w:val="script"/>
    <w:pitch w:val="default"/>
    <w:sig w:usb0="00000001" w:usb1="080E0000" w:usb2="00000000" w:usb3="00000000" w:csb0="00040000" w:csb1="00000000"/>
    <w:embedRegular r:id="rId4" w:fontKey="{83AF8856-1288-4CAD-AA9E-E63B39EDF208}"/>
  </w:font>
  <w:font w:name="楷体_GB2312">
    <w:panose1 w:val="02010609030101010101"/>
    <w:charset w:val="86"/>
    <w:family w:val="auto"/>
    <w:pitch w:val="default"/>
    <w:sig w:usb0="00000001" w:usb1="080E0000" w:usb2="00000000" w:usb3="00000000" w:csb0="00040000" w:csb1="00000000"/>
    <w:embedRegular r:id="rId5" w:fontKey="{8B217352-0E6F-4A91-8426-D74F30E68D0F}"/>
  </w:font>
  <w:font w:name="等线">
    <w:panose1 w:val="02010600030101010101"/>
    <w:charset w:val="86"/>
    <w:family w:val="auto"/>
    <w:pitch w:val="default"/>
    <w:sig w:usb0="A00002BF" w:usb1="38CF7CFA" w:usb2="00000016" w:usb3="00000000" w:csb0="0004000F" w:csb1="00000000"/>
    <w:embedRegular r:id="rId6" w:fontKey="{815B2759-42F4-448C-A421-E25436EEB2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right="640" w:rightChars="200"/>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Text Box 5" o:spid="_x0000_s1026" o:spt="202" type="#_x0000_t202" style="position:absolute;left:0pt;margin-top:-0.2pt;height:144pt;width:144pt;mso-position-horizontal:outside;mso-position-horizontal-relative:margin;mso-wrap-style:none;z-index:251659264;mso-width-relative:page;mso-height-relative:page;" filled="f" stroked="f" coordsize="21600,21600" o:gfxdata="UEsDBAoAAAAAAIdO4kAAAAAAAAAAAAAAAAAEAAAAZHJzL1BLAwQUAAAACACHTuJAdvabT9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29ptP0wAAAAYBAAAPAAAAAAAAAAEAIAAAACIAAABkcnMvZG93bnJldi54&#10;bWxQSwECFAAUAAAACACHTuJAut4ojP8BAAAGBAAADgAAAAAAAAABACAAAAAiAQAAZHJzL2Uyb0Rv&#10;Yy54bWxQSwUGAAAAAAYABgBZAQAAkwUAAAAA&#10;">
              <v:fill on="f" focussize="0,0"/>
              <v:stroke on="f" weight="0.5pt"/>
              <v:imagedata o:title=""/>
              <o:lock v:ext="edit" aspectratio="f"/>
              <v:textbox inset="0mm,0mm,0mm,0mm" style="mso-fit-shape-to-text:t;">
                <w:txbxContent>
                  <w:p>
                    <w:pPr>
                      <w:pStyle w:val="7"/>
                      <w:ind w:right="640" w:rightChars="200"/>
                      <w:rPr>
                        <w:rFonts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14"/>
        <w:tab w:val="clear" w:pos="4153"/>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Text Box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Ak3k9r/gEAAAYEAAAOAAAAAAAAAAEAIAAAAB8BAABkcnMvZTJvRG9jLnht&#10;bFBLBQYAAAAABgAGAFkBAACP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FangSong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FangSong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right="640" w:rightChars="200"/>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Text Box 5" o:spid="_x0000_s1026" o:spt="202" type="#_x0000_t202" style="position:absolute;left:0pt;margin-top:-0.2pt;height:144pt;width:144pt;mso-position-horizontal:outside;mso-position-horizontal-relative:margin;mso-wrap-style:none;z-index:251661312;mso-width-relative:page;mso-height-relative:page;" filled="f" stroked="f" coordsize="21600,21600" o:gfxdata="UEsDBAoAAAAAAIdO4kAAAAAAAAAAAAAAAAAEAAAAZHJzL1BLAwQUAAAACACHTuJAdvabT9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b2m0/TAAAABgEAAA8AAAAAAAAAAQAgAAAAIgAAAGRycy9kb3ducmV2Lnht&#10;bFBLAQIUABQAAAAIAIdO4kBL75el/gEAAAYEAAAOAAAAAAAAAAEAIAAAACIBAABkcnMvZTJvRG9j&#10;LnhtbFBLBQYAAAAABgAGAFkBAACSBQAAAAA=&#10;">
              <v:fill on="f" focussize="0,0"/>
              <v:stroke on="f" weight="0.5pt"/>
              <v:imagedata o:title=""/>
              <o:lock v:ext="edit" aspectratio="f"/>
              <v:textbox inset="0mm,0mm,0mm,0mm" style="mso-fit-shape-to-text:t;">
                <w:txbxContent>
                  <w:p>
                    <w:pPr>
                      <w:pStyle w:val="7"/>
                      <w:ind w:right="640" w:rightChars="200"/>
                      <w:rPr>
                        <w:rFonts w:ascii="宋体" w:hAnsi="宋体" w:eastAsia="宋体" w:cs="宋体"/>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14"/>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10</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10</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2638DE"/>
    <w:multiLevelType w:val="singleLevel"/>
    <w:tmpl w:val="C12638DE"/>
    <w:lvl w:ilvl="0" w:tentative="0">
      <w:start w:val="1"/>
      <w:numFmt w:val="chineseCounting"/>
      <w:suff w:val="nothing"/>
      <w:lvlText w:val="%1、"/>
      <w:lvlJc w:val="left"/>
      <w:rPr>
        <w:rFonts w:hint="eastAsia"/>
      </w:rPr>
    </w:lvl>
  </w:abstractNum>
  <w:abstractNum w:abstractNumId="1">
    <w:nsid w:val="148C2774"/>
    <w:multiLevelType w:val="singleLevel"/>
    <w:tmpl w:val="148C277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dit="comment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yNzM0YTgxMzZjZTQyODA4ODYzYzYwNTA0NTI4NDAifQ=="/>
  </w:docVars>
  <w:rsids>
    <w:rsidRoot w:val="00093A5C"/>
    <w:rsid w:val="0001214B"/>
    <w:rsid w:val="00050829"/>
    <w:rsid w:val="00065672"/>
    <w:rsid w:val="00093A5C"/>
    <w:rsid w:val="00356624"/>
    <w:rsid w:val="00380FAD"/>
    <w:rsid w:val="00404AA8"/>
    <w:rsid w:val="0047722F"/>
    <w:rsid w:val="00540B3D"/>
    <w:rsid w:val="0060145E"/>
    <w:rsid w:val="008522D1"/>
    <w:rsid w:val="00921AFE"/>
    <w:rsid w:val="00A02273"/>
    <w:rsid w:val="00B1221C"/>
    <w:rsid w:val="013E3003"/>
    <w:rsid w:val="01561BD3"/>
    <w:rsid w:val="01F425D0"/>
    <w:rsid w:val="020F0FAF"/>
    <w:rsid w:val="02C64C03"/>
    <w:rsid w:val="02CF10A1"/>
    <w:rsid w:val="02D74F59"/>
    <w:rsid w:val="040F1BA8"/>
    <w:rsid w:val="048935B5"/>
    <w:rsid w:val="04CB4231"/>
    <w:rsid w:val="04E53BBD"/>
    <w:rsid w:val="05AC03DE"/>
    <w:rsid w:val="05F357EF"/>
    <w:rsid w:val="060D0017"/>
    <w:rsid w:val="061A6D1D"/>
    <w:rsid w:val="06890898"/>
    <w:rsid w:val="070E4ECD"/>
    <w:rsid w:val="071B5990"/>
    <w:rsid w:val="0729092D"/>
    <w:rsid w:val="079C6989"/>
    <w:rsid w:val="089614B1"/>
    <w:rsid w:val="08C86A7F"/>
    <w:rsid w:val="08D55BA8"/>
    <w:rsid w:val="08E602F7"/>
    <w:rsid w:val="09024819"/>
    <w:rsid w:val="09312564"/>
    <w:rsid w:val="098661F1"/>
    <w:rsid w:val="099D29CF"/>
    <w:rsid w:val="09A656BB"/>
    <w:rsid w:val="09C75950"/>
    <w:rsid w:val="0A083170"/>
    <w:rsid w:val="0A794DE4"/>
    <w:rsid w:val="0ACC2AB1"/>
    <w:rsid w:val="0B332DC5"/>
    <w:rsid w:val="0B5C70EE"/>
    <w:rsid w:val="0B7C6285"/>
    <w:rsid w:val="0BE24B2A"/>
    <w:rsid w:val="0BEB139D"/>
    <w:rsid w:val="0C071098"/>
    <w:rsid w:val="0C086F7D"/>
    <w:rsid w:val="0D1E4802"/>
    <w:rsid w:val="0D364454"/>
    <w:rsid w:val="0D3E59EF"/>
    <w:rsid w:val="0D7359B0"/>
    <w:rsid w:val="0D8E77FC"/>
    <w:rsid w:val="0DFA58D5"/>
    <w:rsid w:val="0EAB6DE7"/>
    <w:rsid w:val="0EAD11CC"/>
    <w:rsid w:val="0EC248F6"/>
    <w:rsid w:val="0F135B55"/>
    <w:rsid w:val="0FF636CF"/>
    <w:rsid w:val="10D27D1F"/>
    <w:rsid w:val="10E55DBB"/>
    <w:rsid w:val="11031620"/>
    <w:rsid w:val="136566B0"/>
    <w:rsid w:val="13BF37FF"/>
    <w:rsid w:val="13D3010A"/>
    <w:rsid w:val="14072D32"/>
    <w:rsid w:val="14221481"/>
    <w:rsid w:val="14803069"/>
    <w:rsid w:val="153C62BA"/>
    <w:rsid w:val="15841F38"/>
    <w:rsid w:val="159B37AB"/>
    <w:rsid w:val="15C9221E"/>
    <w:rsid w:val="15DC42C6"/>
    <w:rsid w:val="15DE4629"/>
    <w:rsid w:val="15F1786F"/>
    <w:rsid w:val="160C67B5"/>
    <w:rsid w:val="167669E7"/>
    <w:rsid w:val="169736A9"/>
    <w:rsid w:val="16BF1DEB"/>
    <w:rsid w:val="16E41DEE"/>
    <w:rsid w:val="17232353"/>
    <w:rsid w:val="17343EB7"/>
    <w:rsid w:val="17801E50"/>
    <w:rsid w:val="17A34B99"/>
    <w:rsid w:val="180608D8"/>
    <w:rsid w:val="18365B98"/>
    <w:rsid w:val="185C1918"/>
    <w:rsid w:val="18B678A7"/>
    <w:rsid w:val="18CE2D9D"/>
    <w:rsid w:val="191F3A4C"/>
    <w:rsid w:val="192703D2"/>
    <w:rsid w:val="197A11BD"/>
    <w:rsid w:val="1AA5277F"/>
    <w:rsid w:val="1AA65D93"/>
    <w:rsid w:val="1AD70534"/>
    <w:rsid w:val="1BE71EDE"/>
    <w:rsid w:val="1C1463C1"/>
    <w:rsid w:val="1CA762D7"/>
    <w:rsid w:val="1CFE70CF"/>
    <w:rsid w:val="1D1502E7"/>
    <w:rsid w:val="1D3A1AFC"/>
    <w:rsid w:val="1DD27B11"/>
    <w:rsid w:val="1DF273F5"/>
    <w:rsid w:val="1E1B5DDF"/>
    <w:rsid w:val="1E98617A"/>
    <w:rsid w:val="1ECF1F0A"/>
    <w:rsid w:val="1FBB2C04"/>
    <w:rsid w:val="1FD769E4"/>
    <w:rsid w:val="20FF6EAC"/>
    <w:rsid w:val="214055A5"/>
    <w:rsid w:val="214F647C"/>
    <w:rsid w:val="2173218B"/>
    <w:rsid w:val="21A63E2B"/>
    <w:rsid w:val="220C618A"/>
    <w:rsid w:val="220E6D33"/>
    <w:rsid w:val="22224634"/>
    <w:rsid w:val="23013D44"/>
    <w:rsid w:val="24A863FC"/>
    <w:rsid w:val="250633BA"/>
    <w:rsid w:val="257E33D4"/>
    <w:rsid w:val="258B6AA1"/>
    <w:rsid w:val="25D50BB0"/>
    <w:rsid w:val="25E21361"/>
    <w:rsid w:val="261455E0"/>
    <w:rsid w:val="262B1E0F"/>
    <w:rsid w:val="26370896"/>
    <w:rsid w:val="268F4E04"/>
    <w:rsid w:val="26B65C33"/>
    <w:rsid w:val="26DD6376"/>
    <w:rsid w:val="273754CA"/>
    <w:rsid w:val="28332E7B"/>
    <w:rsid w:val="289865C7"/>
    <w:rsid w:val="289B3492"/>
    <w:rsid w:val="28B36C10"/>
    <w:rsid w:val="29423D19"/>
    <w:rsid w:val="2A075F37"/>
    <w:rsid w:val="2AC0412B"/>
    <w:rsid w:val="2B261225"/>
    <w:rsid w:val="2B361736"/>
    <w:rsid w:val="2C367B97"/>
    <w:rsid w:val="2C374C8D"/>
    <w:rsid w:val="2C493B09"/>
    <w:rsid w:val="2CB80648"/>
    <w:rsid w:val="2CD82D80"/>
    <w:rsid w:val="2D490E25"/>
    <w:rsid w:val="2D4B5BDA"/>
    <w:rsid w:val="2EB61B84"/>
    <w:rsid w:val="2F2650AF"/>
    <w:rsid w:val="2F35223A"/>
    <w:rsid w:val="2F997DB0"/>
    <w:rsid w:val="2FC15740"/>
    <w:rsid w:val="2FE30F4E"/>
    <w:rsid w:val="2FFD1DDE"/>
    <w:rsid w:val="304E7940"/>
    <w:rsid w:val="310778DF"/>
    <w:rsid w:val="32874ADB"/>
    <w:rsid w:val="32FD4BAF"/>
    <w:rsid w:val="330A532D"/>
    <w:rsid w:val="3350487A"/>
    <w:rsid w:val="33803C40"/>
    <w:rsid w:val="347A79CB"/>
    <w:rsid w:val="34BA06F9"/>
    <w:rsid w:val="3511211E"/>
    <w:rsid w:val="35284CDE"/>
    <w:rsid w:val="354E2B0A"/>
    <w:rsid w:val="35746DAF"/>
    <w:rsid w:val="358E571A"/>
    <w:rsid w:val="362E7A13"/>
    <w:rsid w:val="36C95F72"/>
    <w:rsid w:val="36F62AE0"/>
    <w:rsid w:val="3702714D"/>
    <w:rsid w:val="37EB2F73"/>
    <w:rsid w:val="38C44A07"/>
    <w:rsid w:val="38F213E4"/>
    <w:rsid w:val="38F8063F"/>
    <w:rsid w:val="39180AEB"/>
    <w:rsid w:val="39F2330B"/>
    <w:rsid w:val="3A3913D9"/>
    <w:rsid w:val="3A41062A"/>
    <w:rsid w:val="3CFD4BC8"/>
    <w:rsid w:val="3DBE370A"/>
    <w:rsid w:val="3E02768D"/>
    <w:rsid w:val="3E5027A0"/>
    <w:rsid w:val="3E5C1935"/>
    <w:rsid w:val="3E7706EB"/>
    <w:rsid w:val="3E854908"/>
    <w:rsid w:val="3EBE61B2"/>
    <w:rsid w:val="3F403377"/>
    <w:rsid w:val="3FD27F37"/>
    <w:rsid w:val="40114C1E"/>
    <w:rsid w:val="404678F6"/>
    <w:rsid w:val="409E0D87"/>
    <w:rsid w:val="40BE300B"/>
    <w:rsid w:val="41230EF6"/>
    <w:rsid w:val="418F7C7B"/>
    <w:rsid w:val="41DD3B5A"/>
    <w:rsid w:val="41F01EAA"/>
    <w:rsid w:val="42587720"/>
    <w:rsid w:val="425D3850"/>
    <w:rsid w:val="42736264"/>
    <w:rsid w:val="42CF7EBF"/>
    <w:rsid w:val="43716CB0"/>
    <w:rsid w:val="43DC25F6"/>
    <w:rsid w:val="43FA3C0F"/>
    <w:rsid w:val="443B3FCB"/>
    <w:rsid w:val="445A4C54"/>
    <w:rsid w:val="445E4839"/>
    <w:rsid w:val="44812035"/>
    <w:rsid w:val="44A44811"/>
    <w:rsid w:val="44D0720B"/>
    <w:rsid w:val="44E135AA"/>
    <w:rsid w:val="455956ED"/>
    <w:rsid w:val="460C6F41"/>
    <w:rsid w:val="46BA38DF"/>
    <w:rsid w:val="46C6178B"/>
    <w:rsid w:val="46E916CF"/>
    <w:rsid w:val="476F3AD8"/>
    <w:rsid w:val="480027D1"/>
    <w:rsid w:val="48AF47FD"/>
    <w:rsid w:val="497F1DAA"/>
    <w:rsid w:val="49847F59"/>
    <w:rsid w:val="49897C32"/>
    <w:rsid w:val="4A817F9B"/>
    <w:rsid w:val="4A9F6DC4"/>
    <w:rsid w:val="4B005E4C"/>
    <w:rsid w:val="4B104824"/>
    <w:rsid w:val="4B6F3F9D"/>
    <w:rsid w:val="4BA92F6F"/>
    <w:rsid w:val="4BC25A2C"/>
    <w:rsid w:val="4BCA74ED"/>
    <w:rsid w:val="4BE11A5A"/>
    <w:rsid w:val="4C1B7596"/>
    <w:rsid w:val="4CBD575A"/>
    <w:rsid w:val="4CF57C60"/>
    <w:rsid w:val="4D07114B"/>
    <w:rsid w:val="4DC60B3B"/>
    <w:rsid w:val="4DC740BE"/>
    <w:rsid w:val="4DCB16C1"/>
    <w:rsid w:val="4DDF5C24"/>
    <w:rsid w:val="4E365DE4"/>
    <w:rsid w:val="4E606D65"/>
    <w:rsid w:val="4E661E12"/>
    <w:rsid w:val="4E8840F6"/>
    <w:rsid w:val="4EA515AB"/>
    <w:rsid w:val="4EB64BD7"/>
    <w:rsid w:val="4EF0332D"/>
    <w:rsid w:val="4F0E0B51"/>
    <w:rsid w:val="4F2A7373"/>
    <w:rsid w:val="4F7648CB"/>
    <w:rsid w:val="4FCC0FFF"/>
    <w:rsid w:val="4FDC13CE"/>
    <w:rsid w:val="4FEA5206"/>
    <w:rsid w:val="512E7D96"/>
    <w:rsid w:val="51340FCB"/>
    <w:rsid w:val="516F1948"/>
    <w:rsid w:val="517D7FD2"/>
    <w:rsid w:val="51E02E1A"/>
    <w:rsid w:val="524226AB"/>
    <w:rsid w:val="52771A4D"/>
    <w:rsid w:val="529152FC"/>
    <w:rsid w:val="52FA076C"/>
    <w:rsid w:val="531B6169"/>
    <w:rsid w:val="536C22E5"/>
    <w:rsid w:val="538571C4"/>
    <w:rsid w:val="53971AE3"/>
    <w:rsid w:val="541008E5"/>
    <w:rsid w:val="544B74A8"/>
    <w:rsid w:val="55343B30"/>
    <w:rsid w:val="55D45328"/>
    <w:rsid w:val="55D84FE1"/>
    <w:rsid w:val="55ED1FE3"/>
    <w:rsid w:val="560D3A17"/>
    <w:rsid w:val="561F1AC9"/>
    <w:rsid w:val="5629315C"/>
    <w:rsid w:val="56473984"/>
    <w:rsid w:val="567459BC"/>
    <w:rsid w:val="57034145"/>
    <w:rsid w:val="572B726D"/>
    <w:rsid w:val="577E52E2"/>
    <w:rsid w:val="57D91B87"/>
    <w:rsid w:val="580A1AEF"/>
    <w:rsid w:val="58333234"/>
    <w:rsid w:val="583355C2"/>
    <w:rsid w:val="584436C5"/>
    <w:rsid w:val="584C4400"/>
    <w:rsid w:val="59265079"/>
    <w:rsid w:val="595374C3"/>
    <w:rsid w:val="59C43F08"/>
    <w:rsid w:val="59E46C60"/>
    <w:rsid w:val="5A622D02"/>
    <w:rsid w:val="5A742799"/>
    <w:rsid w:val="5A786E16"/>
    <w:rsid w:val="5ADE203E"/>
    <w:rsid w:val="5AFC2F1B"/>
    <w:rsid w:val="5B090B7C"/>
    <w:rsid w:val="5CB32755"/>
    <w:rsid w:val="5CC719BA"/>
    <w:rsid w:val="5D3B3810"/>
    <w:rsid w:val="5D7E06F2"/>
    <w:rsid w:val="5E434488"/>
    <w:rsid w:val="5E5B60BA"/>
    <w:rsid w:val="5E5D4F0E"/>
    <w:rsid w:val="5EC073AC"/>
    <w:rsid w:val="5EC9548F"/>
    <w:rsid w:val="5F0A350F"/>
    <w:rsid w:val="5F155949"/>
    <w:rsid w:val="5F402CAE"/>
    <w:rsid w:val="5FB71D61"/>
    <w:rsid w:val="5FF732A1"/>
    <w:rsid w:val="5FFE4CB2"/>
    <w:rsid w:val="60100ED3"/>
    <w:rsid w:val="60233244"/>
    <w:rsid w:val="612C0D28"/>
    <w:rsid w:val="61723EC8"/>
    <w:rsid w:val="61783FE1"/>
    <w:rsid w:val="61A53388"/>
    <w:rsid w:val="61A60ADB"/>
    <w:rsid w:val="61E33ADD"/>
    <w:rsid w:val="620B4DE2"/>
    <w:rsid w:val="632834BB"/>
    <w:rsid w:val="6340140A"/>
    <w:rsid w:val="638C1CFD"/>
    <w:rsid w:val="63A76C77"/>
    <w:rsid w:val="63FC7C7F"/>
    <w:rsid w:val="640279F4"/>
    <w:rsid w:val="648E6184"/>
    <w:rsid w:val="64CF03A2"/>
    <w:rsid w:val="66186BEF"/>
    <w:rsid w:val="66994E6C"/>
    <w:rsid w:val="673E274B"/>
    <w:rsid w:val="674D3715"/>
    <w:rsid w:val="678C4D20"/>
    <w:rsid w:val="67AD71DB"/>
    <w:rsid w:val="685B71CA"/>
    <w:rsid w:val="68B97345"/>
    <w:rsid w:val="698928AF"/>
    <w:rsid w:val="698C3F11"/>
    <w:rsid w:val="69EB1124"/>
    <w:rsid w:val="6A07586D"/>
    <w:rsid w:val="6A2F3C61"/>
    <w:rsid w:val="6A463276"/>
    <w:rsid w:val="6A4F1F49"/>
    <w:rsid w:val="6A9F3367"/>
    <w:rsid w:val="6BE41CAE"/>
    <w:rsid w:val="6BF53ADB"/>
    <w:rsid w:val="6C03220D"/>
    <w:rsid w:val="6D760927"/>
    <w:rsid w:val="6D823557"/>
    <w:rsid w:val="6D881A5F"/>
    <w:rsid w:val="6DD16C17"/>
    <w:rsid w:val="6DE36C13"/>
    <w:rsid w:val="6EE20B07"/>
    <w:rsid w:val="70486BAC"/>
    <w:rsid w:val="70820102"/>
    <w:rsid w:val="70910BA8"/>
    <w:rsid w:val="70AA4EE2"/>
    <w:rsid w:val="71267542"/>
    <w:rsid w:val="715738B0"/>
    <w:rsid w:val="715C4C97"/>
    <w:rsid w:val="71A202EB"/>
    <w:rsid w:val="726113B1"/>
    <w:rsid w:val="72872262"/>
    <w:rsid w:val="72A7200A"/>
    <w:rsid w:val="72BB0DF6"/>
    <w:rsid w:val="73B975BF"/>
    <w:rsid w:val="745373A7"/>
    <w:rsid w:val="74852401"/>
    <w:rsid w:val="74E87B88"/>
    <w:rsid w:val="7546457C"/>
    <w:rsid w:val="75B27E4D"/>
    <w:rsid w:val="75C6207F"/>
    <w:rsid w:val="75C931E0"/>
    <w:rsid w:val="761636FA"/>
    <w:rsid w:val="76545A7B"/>
    <w:rsid w:val="76934BA1"/>
    <w:rsid w:val="76BC03BE"/>
    <w:rsid w:val="770051C3"/>
    <w:rsid w:val="7778770E"/>
    <w:rsid w:val="778C4C50"/>
    <w:rsid w:val="77943E33"/>
    <w:rsid w:val="77D01DD7"/>
    <w:rsid w:val="785613C0"/>
    <w:rsid w:val="78746601"/>
    <w:rsid w:val="789145AC"/>
    <w:rsid w:val="791F4F60"/>
    <w:rsid w:val="798F4B2B"/>
    <w:rsid w:val="79C7569F"/>
    <w:rsid w:val="79D37C98"/>
    <w:rsid w:val="79FD2E0E"/>
    <w:rsid w:val="7A5F6F2B"/>
    <w:rsid w:val="7AE32526"/>
    <w:rsid w:val="7BE129E3"/>
    <w:rsid w:val="7C0124D5"/>
    <w:rsid w:val="7C0C4650"/>
    <w:rsid w:val="7C982923"/>
    <w:rsid w:val="7CF06291"/>
    <w:rsid w:val="7D1035A9"/>
    <w:rsid w:val="7D3D4087"/>
    <w:rsid w:val="7DFC0E5E"/>
    <w:rsid w:val="7E9F0934"/>
    <w:rsid w:val="7EA77947"/>
    <w:rsid w:val="7EB20667"/>
    <w:rsid w:val="7FA44F14"/>
    <w:rsid w:val="7FE9630A"/>
    <w:rsid w:val="FDE74BBE"/>
  </w:rsids>
  <m:mathPr>
    <m:mathFont m:val="Cambria Math"/>
    <m:brkBin m:val="before"/>
    <m:brkBinSub m:val="--"/>
    <m:smallFrac m:val="0"/>
    <m:dispDef/>
    <m:lMargin m:val="0"/>
    <m:rMargin m:val="0"/>
    <m:defJc m:val="centerGroup"/>
    <m:wrapIndent m:val="1440"/>
    <m:intLim m:val="subSup"/>
    <m:naryLim m:val="undOvr"/>
  </m:mathPr>
  <w:doNotAutoCompressPictures/>
  <w:themeFontLang w:val="zh-C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FangSong_GB2312" w:cs="Times New Roman"/>
      <w:kern w:val="2"/>
      <w:sz w:val="32"/>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08" w:lineRule="auto"/>
      <w:outlineLvl w:val="1"/>
    </w:pPr>
    <w:rPr>
      <w:rFonts w:ascii="FangSong_GB2312" w:hAnsi="FangSong_GB2312" w:eastAsia="黑体" w:cs="Arial"/>
      <w:b/>
      <w:kern w:val="44"/>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Cs w:val="24"/>
    </w:rPr>
  </w:style>
  <w:style w:type="paragraph" w:styleId="3">
    <w:name w:val="toc 5"/>
    <w:basedOn w:val="1"/>
    <w:next w:val="1"/>
    <w:qFormat/>
    <w:uiPriority w:val="0"/>
    <w:pPr>
      <w:widowControl w:val="0"/>
      <w:ind w:left="1680" w:leftChars="800"/>
      <w:jc w:val="both"/>
    </w:pPr>
    <w:rPr>
      <w:rFonts w:ascii="Times New Roman" w:hAnsi="Times New Roman" w:eastAsia="宋体" w:cs="Times New Roman"/>
      <w:kern w:val="2"/>
      <w:sz w:val="21"/>
      <w:szCs w:val="22"/>
      <w:lang w:val="en-US" w:eastAsia="zh-CN" w:bidi="ar-SA"/>
    </w:rPr>
  </w:style>
  <w:style w:type="paragraph" w:styleId="6">
    <w:name w:val="Body Text Indent"/>
    <w:basedOn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11">
    <w:name w:val="Body Text First Indent 2"/>
    <w:basedOn w:val="6"/>
    <w:link w:val="18"/>
    <w:unhideWhenUsed/>
    <w:qFormat/>
    <w:uiPriority w:val="99"/>
    <w:pPr>
      <w:ind w:firstLine="420" w:firstLineChars="200"/>
    </w:p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Hyperlink"/>
    <w:qFormat/>
    <w:uiPriority w:val="0"/>
    <w:rPr>
      <w:color w:val="0000FF"/>
      <w:u w:val="single"/>
    </w:rPr>
  </w:style>
  <w:style w:type="paragraph" w:styleId="16">
    <w:name w:val="List Paragraph"/>
    <w:basedOn w:val="1"/>
    <w:qFormat/>
    <w:uiPriority w:val="34"/>
    <w:pPr>
      <w:ind w:left="720"/>
      <w:contextualSpacing/>
    </w:pPr>
  </w:style>
  <w:style w:type="paragraph" w:customStyle="1" w:styleId="17">
    <w:name w:val="修訂1"/>
    <w:hidden/>
    <w:unhideWhenUsed/>
    <w:qFormat/>
    <w:uiPriority w:val="99"/>
    <w:rPr>
      <w:rFonts w:ascii="Times New Roman" w:hAnsi="Times New Roman" w:eastAsia="FangSong_GB2312" w:cs="Times New Roman"/>
      <w:kern w:val="2"/>
      <w:sz w:val="32"/>
      <w:lang w:val="en-US" w:eastAsia="zh-CN" w:bidi="ar-SA"/>
    </w:rPr>
  </w:style>
  <w:style w:type="character" w:customStyle="1" w:styleId="18">
    <w:name w:val="本文第一層縮排 2 字元"/>
    <w:link w:val="11"/>
    <w:qFormat/>
    <w:uiPriority w:val="99"/>
    <w:rPr>
      <w:rFonts w:eastAsia="FangSong_GB2312"/>
      <w:kern w:val="2"/>
      <w:sz w:val="32"/>
      <w:lang w:eastAsia="zh-CN"/>
    </w:rPr>
  </w:style>
  <w:style w:type="paragraph" w:customStyle="1" w:styleId="19">
    <w:name w:val="Table Paragraph"/>
    <w:qFormat/>
    <w:uiPriority w:val="1"/>
    <w:pPr>
      <w:widowControl w:val="0"/>
      <w:jc w:val="left"/>
    </w:pPr>
    <w:rPr>
      <w:rFonts w:ascii="Times New Roman" w:hAnsi="Times New Roman" w:eastAsia="仿宋_GB2312" w:cs="Times New Roman"/>
      <w:kern w:val="0"/>
      <w:sz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960FE4-ADFD-8A44-8D81-C6F8FF45D9C9}">
  <ds:schemaRefs/>
</ds:datastoreItem>
</file>

<file path=docProps/app.xml><?xml version="1.0" encoding="utf-8"?>
<Properties xmlns="http://schemas.openxmlformats.org/officeDocument/2006/extended-properties" xmlns:vt="http://schemas.openxmlformats.org/officeDocument/2006/docPropsVTypes">
  <Pages>17</Pages>
  <Words>5808</Words>
  <Characters>6274</Characters>
  <Lines>1</Lines>
  <Paragraphs>1</Paragraphs>
  <TotalTime>2</TotalTime>
  <ScaleCrop>false</ScaleCrop>
  <LinksUpToDate>false</LinksUpToDate>
  <CharactersWithSpaces>6469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2023-11-10T12:53:00Z</dcterms:created>
  <dc:creator>user</dc:creator>
  <cp:lastModifiedBy>罗楚茵(港澳台和外事部)</cp:lastModifiedBy>
  <cp:lastPrinted>2025-08-04T02:44:00Z</cp:lastPrinted>
  <dcterms:modified xsi:type="dcterms:W3CDTF">2025-08-27T11:29:52Z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A496FC72D1574A17AF8514ADC34E2EDA_13</vt:lpwstr>
  </property>
  <property fmtid="{D5CDD505-2E9C-101B-9397-08002B2CF9AE}" pid="4" name="KSOTemplateDocerSaveRecord">
    <vt:lpwstr>eyJoZGlkIjoiN2M2OTgyMGNkNDBhYTFjMDZlZGVhMmZiODhiYmU3YTciLCJ1c2VySWQiOiI0MzUzMjM3ODYifQ==</vt:lpwstr>
  </property>
</Properties>
</file>